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left"/>
      </w:pPr>
      <w:r>
        <w:rPr>
          <w:rFonts w:ascii="Arial" w:cs="Arial" w:eastAsia="Arial" w:hAnsi="Arial"/>
          <w:caps/>
          <w:color w:val="555555"/>
          <w:spacing w:val="200"/>
          <w:sz w:val="14"/>
          <w:szCs w:val="14"/>
        </w:rPr>
        <w:t xml:space="preserve">GLOBAL MARKETS AMERICAS</w:t>
      </w:r>
    </w:p>
    <w:p>
      <w:pPr>
        <w:spacing w:after="80"/>
      </w:pPr>
      <w:r>
        <w:rPr>
          <w:rFonts w:ascii="Arial" w:cs="Arial" w:eastAsia="Arial" w:hAnsi="Arial"/>
          <w:b/>
          <w:bCs/>
          <w:color w:val="1B3A5C"/>
          <w:sz w:val="44"/>
          <w:szCs w:val="44"/>
        </w:rPr>
        <w:t xml:space="preserve">WEEKLY MARKET RECAP &amp; OUTLOOK</w:t>
      </w:r>
    </w:p>
    <w:p>
      <w:pPr>
        <w:spacing w:after="40"/>
      </w:pPr>
      <w:r>
        <w:rPr>
          <w:rFonts w:ascii="Arial" w:cs="Arial" w:eastAsia="Arial" w:hAnsi="Arial"/>
          <w:color w:val="555555"/>
          <w:sz w:val="20"/>
          <w:szCs w:val="20"/>
        </w:rPr>
        <w:t xml:space="preserve">15 March 2026  |  </w:t>
      </w:r>
      <w:r>
        <w:rPr>
          <w:rFonts w:ascii="Arial" w:cs="Arial" w:eastAsia="Arial" w:hAnsi="Arial"/>
          <w:b/>
          <w:bCs/>
          <w:color w:val="C0392B"/>
          <w:sz w:val="18"/>
          <w:szCs w:val="18"/>
        </w:rPr>
        <w:t xml:space="preserve">CONFIDENTIAL — FOR INTERNAL DISTRIBUTION ONLY</w:t>
      </w:r>
    </w:p>
    <w:p>
      <w:pPr>
        <w:pBdr>
          <w:bottom w:val="single" w:color="1B3A5C" w:sz="8" w:space="8"/>
        </w:pBdr>
        <w:spacing w:after="200"/>
      </w:pPr>
      <w:r>
        <w:rPr>
          <w:rFonts w:ascii="Arial" w:cs="Arial" w:eastAsia="Arial" w:hAnsi="Arial"/>
          <w:i/>
          <w:iCs/>
          <w:color w:val="555555"/>
          <w:sz w:val="20"/>
          <w:szCs w:val="20"/>
        </w:rPr>
        <w:t xml:space="preserve">Senior Trading Desk | Executive Summary for Leadership</w:t>
      </w:r>
    </w:p>
    <w:p>
      <w:pPr>
        <w:pStyle w:val="Heading1"/>
      </w:pPr>
      <w:r>
        <w:t xml:space="preserve">EXECUTIVE SUMMARY: THREE COLLISIONS AT ONCE</w:t>
      </w:r>
    </w:p>
    <w:p>
      <w:pPr>
        <w:spacing w:after="160" w:before="0" w:line="276"/>
        <w:jc w:val="left"/>
      </w:pPr>
      <w:r>
        <w:rPr>
          <w:rFonts w:ascii="Arial" w:cs="Arial" w:eastAsia="Arial" w:hAnsi="Arial"/>
          <w:color w:val="333333"/>
          <w:sz w:val="20"/>
          <w:szCs w:val="20"/>
        </w:rPr>
        <w:t xml:space="preserve">We are navigating the rarest of setups: a geopolitical supply shock (Iran war, oil &gt;$100), a structural tech rotation (SaaS bear market, AI capex boom), and a credit reckoning (private credit defaults rising, redemption gates). These three forces are colliding simultaneously. S&amp;P 500 at ~6,620 (down ~5% from ATH), but the surface calm masks violent sector rotation underneath. Next week is pivotal: NVIDIA GTC Mon-Thu, Fed decision Wed, ECB/BoE/SNB all on Thursday. Peak war panic expected in 1-3 weeks per Alpine Macro.</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KEY NUMBERS TO MEMORISE: Brent $100+ (up 40-50% since Feb 28) | US gas $3.59/gal (+22% MoM) | S&amp;P 6,620 | Gold $5,175/oz | DXY strongest in 5wks | 10Y UST 4.17% | Feb NFP: -92K jobs | US CPI 2.4% (pre-war) | Hormuz: 20% of global oil SHUT | 15M bbl/day Gulf supply offline | IEA: 400M bbl SPR release (largest ever) | Private credit true default rate ~5% | SaaS ETF (IGV) down 23% YTD</w:t>
      </w:r>
    </w:p>
    <w:p>
      <w:pPr>
        <w:pBdr>
          <w:bottom w:val="single" w:color="1B3A5C" w:sz="6" w:space="4"/>
        </w:pBdr>
        <w:spacing w:after="200" w:before="200"/>
      </w:pPr>
    </w:p>
    <w:p>
      <w:pPr>
        <w:pStyle w:val="Heading1"/>
      </w:pPr>
      <w:r>
        <w:t xml:space="preserve">1. AI STOCKS &amp; THE SAASPOCALYPSE</w:t>
      </w:r>
    </w:p>
    <w:p>
      <w:pPr>
        <w:pStyle w:val="Heading2"/>
      </w:pPr>
      <w:r>
        <w:t xml:space="preserve">AI Infrastructure: The $700B Arms Race</w:t>
      </w:r>
    </w:p>
    <w:p>
      <w:pPr>
        <w:spacing w:after="160" w:before="0" w:line="276"/>
        <w:jc w:val="left"/>
      </w:pPr>
      <w:r>
        <w:rPr>
          <w:rFonts w:ascii="Arial" w:cs="Arial" w:eastAsia="Arial" w:hAnsi="Arial"/>
          <w:color w:val="333333"/>
          <w:sz w:val="20"/>
          <w:szCs w:val="20"/>
        </w:rPr>
        <w:t xml:space="preserve">The AI hardware trade remains the strongest fundamental story in equities. Top 5 hyperscalers (GOOGL, AMZN, META, MSFT, AAPL) set to spend &gt;$700B on AI infra in 2026, up from $410B in 2025. NVIDIA just posted $215.9B in FY26 revenue (up 65% YoY), networking revenue up 264% QoQ to $11B. Forward P/E only 22x — cheap by any growth measure. GTC 2026 kicks off Monday (Mar 16) at San Jose, 39,000 attendees from 190 countries. Historically GTC weeks deliver 5-10% pops in NVDA. Broadcom’s AI semi division growing at 106% to $8.4B in Q1 FY26, guiding $100B AI chip revenue by end-2027. Marvell up 42% in FY26 revenue to $8.2B, custom processor revenue doubled. TSMC projecting ~60% CAGR for AI chips through 2029.</w:t>
      </w:r>
    </w:p>
    <w:p>
      <w:pPr>
        <w:spacing w:after="80"/>
      </w:pPr>
      <w:r>
        <w:rPr>
          <w:rFonts w:ascii="Arial" w:cs="Arial" w:eastAsia="Arial" w:hAnsi="Arial"/>
          <w:color w:val="555555"/>
          <w:sz w:val="20"/>
          <w:szCs w:val="20"/>
        </w:rPr>
        <w:t xml:space="preserve">NVDA FY26 Revenue: </w:t>
      </w:r>
      <w:r>
        <w:rPr>
          <w:rFonts w:ascii="Arial" w:cs="Arial" w:eastAsia="Arial" w:hAnsi="Arial"/>
          <w:b/>
          <w:bCs/>
          <w:color w:val="C0392B"/>
          <w:sz w:val="20"/>
          <w:szCs w:val="20"/>
        </w:rPr>
        <w:t xml:space="preserve">$215.9B (+65% YoY)</w:t>
      </w:r>
    </w:p>
    <w:p>
      <w:pPr>
        <w:spacing w:after="80"/>
      </w:pPr>
      <w:r>
        <w:rPr>
          <w:rFonts w:ascii="Arial" w:cs="Arial" w:eastAsia="Arial" w:hAnsi="Arial"/>
          <w:color w:val="555555"/>
          <w:sz w:val="20"/>
          <w:szCs w:val="20"/>
        </w:rPr>
        <w:t xml:space="preserve">Broadcom AI Semi Q1: </w:t>
      </w:r>
      <w:r>
        <w:rPr>
          <w:rFonts w:ascii="Arial" w:cs="Arial" w:eastAsia="Arial" w:hAnsi="Arial"/>
          <w:b/>
          <w:bCs/>
          <w:color w:val="C0392B"/>
          <w:sz w:val="20"/>
          <w:szCs w:val="20"/>
        </w:rPr>
        <w:t xml:space="preserve">$8.4B (+106%)</w:t>
      </w:r>
    </w:p>
    <w:p>
      <w:pPr>
        <w:spacing w:after="80"/>
      </w:pPr>
      <w:r>
        <w:rPr>
          <w:rFonts w:ascii="Arial" w:cs="Arial" w:eastAsia="Arial" w:hAnsi="Arial"/>
          <w:color w:val="555555"/>
          <w:sz w:val="20"/>
          <w:szCs w:val="20"/>
        </w:rPr>
        <w:t xml:space="preserve">Hyperscaler AI Capex 2026: </w:t>
      </w:r>
      <w:r>
        <w:rPr>
          <w:rFonts w:ascii="Arial" w:cs="Arial" w:eastAsia="Arial" w:hAnsi="Arial"/>
          <w:b/>
          <w:bCs/>
          <w:color w:val="C0392B"/>
          <w:sz w:val="20"/>
          <w:szCs w:val="20"/>
        </w:rPr>
        <w:t xml:space="preserve">&gt;$700B (vs $410B in 2025)</w:t>
      </w:r>
    </w:p>
    <w:p>
      <w:pPr>
        <w:spacing w:after="80"/>
      </w:pPr>
      <w:r>
        <w:rPr>
          <w:rFonts w:ascii="Arial" w:cs="Arial" w:eastAsia="Arial" w:hAnsi="Arial"/>
          <w:color w:val="555555"/>
          <w:sz w:val="20"/>
          <w:szCs w:val="20"/>
        </w:rPr>
        <w:t xml:space="preserve">Micron Gross Margins: </w:t>
      </w:r>
      <w:r>
        <w:rPr>
          <w:rFonts w:ascii="Arial" w:cs="Arial" w:eastAsia="Arial" w:hAnsi="Arial"/>
          <w:b/>
          <w:bCs/>
          <w:color w:val="C0392B"/>
          <w:sz w:val="20"/>
          <w:szCs w:val="20"/>
        </w:rPr>
        <w:t xml:space="preserve">56% (from 38.4% YoY)</w:t>
      </w:r>
    </w:p>
    <w:p>
      <w:pPr>
        <w:spacing w:after="80"/>
      </w:pPr>
      <w:r>
        <w:rPr>
          <w:rFonts w:ascii="Arial" w:cs="Arial" w:eastAsia="Arial" w:hAnsi="Arial"/>
          <w:color w:val="555555"/>
          <w:sz w:val="20"/>
          <w:szCs w:val="20"/>
        </w:rPr>
        <w:t xml:space="preserve">Vertiv (VRT): </w:t>
      </w:r>
      <w:r>
        <w:rPr>
          <w:rFonts w:ascii="Arial" w:cs="Arial" w:eastAsia="Arial" w:hAnsi="Arial"/>
          <w:b/>
          <w:bCs/>
          <w:color w:val="C0392B"/>
          <w:sz w:val="20"/>
          <w:szCs w:val="20"/>
        </w:rPr>
        <w:t xml:space="preserve">+50% YTD</w:t>
      </w:r>
    </w:p>
    <w:p>
      <w:pPr>
        <w:pStyle w:val="Heading2"/>
      </w:pPr>
      <w:r>
        <w:t xml:space="preserve">SaaS Carnage: The "SaaSpocalypse"</w:t>
      </w:r>
    </w:p>
    <w:p>
      <w:pPr>
        <w:spacing w:after="160" w:before="0" w:line="276"/>
        <w:jc w:val="left"/>
      </w:pPr>
      <w:r>
        <w:rPr>
          <w:rFonts w:ascii="Arial" w:cs="Arial" w:eastAsia="Arial" w:hAnsi="Arial"/>
          <w:color w:val="333333"/>
          <w:sz w:val="20"/>
          <w:szCs w:val="20"/>
        </w:rPr>
        <w:t xml:space="preserve">The software sector is in a full-blown bear market. IGV (iShares Software ETF) down 23%+ YTD. Anthropic’s Claude Cowork launch alone triggered a single-day $285B market cap wipeout. Salesforce down ~30% YTD, ServiceNow -28%, Adobe -27%, Intuit -34%, Shopify -26%. MSFT down 16% on Azure capex overhang. Software P/S multiples compressed from 9x to 6x — levels not seen since mid-2010s.</w:t>
      </w:r>
    </w:p>
    <w:p>
      <w:pPr>
        <w:spacing w:after="160" w:before="0" w:line="276"/>
        <w:jc w:val="left"/>
      </w:pPr>
      <w:r>
        <w:rPr>
          <w:rFonts w:ascii="Arial" w:cs="Arial" w:eastAsia="Arial" w:hAnsi="Arial"/>
          <w:color w:val="333333"/>
          <w:sz w:val="20"/>
          <w:szCs w:val="20"/>
        </w:rPr>
        <w:t xml:space="preserve">The narrative: AI agents replacing enterprise seats. SaaStr’s Jason Lemkin frames it simply: 10 AI agents do the work of 100 reps, so you need 10 Salesforce seats, not 100. That’s a 90% seat revenue haircut. Goldman Sachs compared software to newspapers facing internet disruption — a grim analog. However, JPMorgan calls this “broken logic”: if AI is destroying software companies, then AI stocks should be soaring, not also selling off. Jensen Huang calls the replacement thesis “illogical.” Morgan Stanley’s Huberty says the selloff is “sentiment-driven dislocation.”</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CONTRARIAN VIEW: Fidelity's Alex Wright says this is the most opportunistic dislocation since Covid. If you believe AI augments rather than replaces enterprise software, these are multi-year entry points.</w:t>
      </w:r>
    </w:p>
    <w:p>
      <w:pPr>
        <w:pStyle w:val="Heading2"/>
      </w:pPr>
      <w:r>
        <w:t xml:space="preserve">AI &amp; Employment: The Tsunami</w:t>
      </w:r>
    </w:p>
    <w:p>
      <w:pPr>
        <w:spacing w:after="160" w:before="0" w:line="276"/>
        <w:jc w:val="left"/>
      </w:pPr>
      <w:r>
        <w:rPr>
          <w:rFonts w:ascii="Arial" w:cs="Arial" w:eastAsia="Arial" w:hAnsi="Arial"/>
          <w:color w:val="333333"/>
          <w:sz w:val="20"/>
          <w:szCs w:val="20"/>
        </w:rPr>
        <w:t xml:space="preserve">45,000 tech layoffs in 2026 through March, 20% directly AI-attributed. Over 30,000 impacted by explicit AI-driven cuts. 45+ CEOs have cited AI as reason for headcount reduction. At least 8 companies cut 10K+ each (Amazon, Microsoft, Accenture, Dell, Intel, Citigroup, TCS, UPS). Block (Jack Dorsey) slashed from 10,000 to &lt;6,000, explicitly stating AI changed what it means to run a company. Mercer survey: employee fear of AI job loss jumped from 28% (2024) to 40% (2026). Deutsche Bank: “Anxiety about AI will go from a low hum to a loud roar this year.” Feb NFP: US economy LOST 92,000 jobs, unemployment ticked to 4.4%. If current pace holds, 2026 tech layoffs could hit 265K, surpassing 2025’s 245K.</w:t>
      </w:r>
    </w:p>
    <w:p>
      <w:pPr>
        <w:spacing w:after="160" w:before="0" w:line="276"/>
        <w:jc w:val="left"/>
      </w:pPr>
      <w:r>
        <w:rPr>
          <w:rFonts w:ascii="Arial" w:cs="Arial" w:eastAsia="Arial" w:hAnsi="Arial"/>
          <w:color w:val="333333"/>
          <w:sz w:val="20"/>
          <w:szCs w:val="20"/>
        </w:rPr>
        <w:t xml:space="preserve">But Citadel Securities’ Frank Flight rebuts the doom loop thesis — AI adoption is still slow and expensive, and the macro data doesn’t show mass displacement yet. Forrester: 55% of employers REGRET AI layoffs (Klarna rehired humans after AI quality declined). Only 16% of workers had high “AIQ” in 2025.</w:t>
      </w:r>
    </w:p>
    <w:p>
      <w:pPr>
        <w:pBdr>
          <w:bottom w:val="single" w:color="1B3A5C" w:sz="6" w:space="4"/>
        </w:pBdr>
        <w:spacing w:after="200" w:before="200"/>
      </w:pPr>
    </w:p>
    <w:p>
      <w:pPr>
        <w:pStyle w:val="Heading1"/>
      </w:pPr>
      <w:r>
        <w:t xml:space="preserve">2. IRAN WAR: THE MOTHER OF ALL SUPPLY SHOCKS</w:t>
      </w:r>
    </w:p>
    <w:p>
      <w:pPr>
        <w:pStyle w:val="Heading2"/>
      </w:pPr>
      <w:r>
        <w:t xml:space="preserve">Timeline &amp; Scale</w:t>
      </w:r>
    </w:p>
    <w:p>
      <w:pPr>
        <w:spacing w:after="160" w:before="0" w:line="276"/>
        <w:jc w:val="left"/>
      </w:pPr>
      <w:r>
        <w:rPr>
          <w:rFonts w:ascii="Arial" w:cs="Arial" w:eastAsia="Arial" w:hAnsi="Arial"/>
          <w:color w:val="333333"/>
          <w:sz w:val="20"/>
          <w:szCs w:val="20"/>
        </w:rPr>
        <w:t xml:space="preserve">US-Israeli strikes began Feb 28. Supreme Leader Khamenei assassinated. Iran retaliated by effectively closing the Strait of Hormuz — 20% of global oil supply, ~20M bbl/day to Asia. This is now the LARGEST oil supply disruption in history per the IEA, more than double the 1956 Suez Crisis. Gulf production (Saudi, Iraq, Kuwait, UAE) dropped by at least 10M bbl/day by Mar 12. Qatar declared force majeure on LNG exports (20% of global LNG). Saudi Aramco’s Ras Tanura refinery and export terminal shut. 200+ ships stranded/wandering the region. Airspace closures across Bahrain, Iraq, Israel, Kuwait, Qatar, Syria, UAE.</w:t>
      </w:r>
    </w:p>
    <w:p>
      <w:pPr>
        <w:pStyle w:val="Heading2"/>
      </w:pPr>
      <w:r>
        <w:t xml:space="preserve">Oil: Triple-Digit Reality</w:t>
      </w:r>
    </w:p>
    <w:p>
      <w:pPr>
        <w:spacing w:after="160" w:before="0" w:line="276"/>
        <w:jc w:val="left"/>
      </w:pPr>
      <w:r>
        <w:rPr>
          <w:rFonts w:ascii="Arial" w:cs="Arial" w:eastAsia="Arial" w:hAnsi="Arial"/>
          <w:color w:val="333333"/>
          <w:sz w:val="20"/>
          <w:szCs w:val="20"/>
        </w:rPr>
        <w:t xml:space="preserve">Brent crude surged from ~$70 pre-war to $120 intraday (Mar 9-10), settled around $100+ as of Friday. Largest single-week move in decades. Oil had its first $100 print since the 2022 Russia-Ukraine spike. IEA announced largest-ever SPR release: 400M barrels across 32 member nations. US alone: 172M barrels over 120 days (1.4M bbl/day — just 15% of lost Hormuz supply). Takes 13 days from authorisation to market. Bernstein: SPR action will have “limited impact” on price trajectory.</w:t>
      </w:r>
    </w:p>
    <w:p>
      <w:pPr>
        <w:spacing w:after="80"/>
      </w:pPr>
      <w:r>
        <w:rPr>
          <w:rFonts w:ascii="Arial" w:cs="Arial" w:eastAsia="Arial" w:hAnsi="Arial"/>
          <w:color w:val="555555"/>
          <w:sz w:val="20"/>
          <w:szCs w:val="20"/>
        </w:rPr>
        <w:t xml:space="preserve">Brent Crude: </w:t>
      </w:r>
      <w:r>
        <w:rPr>
          <w:rFonts w:ascii="Arial" w:cs="Arial" w:eastAsia="Arial" w:hAnsi="Arial"/>
          <w:b/>
          <w:bCs/>
          <w:color w:val="C0392B"/>
          <w:sz w:val="20"/>
          <w:szCs w:val="20"/>
        </w:rPr>
        <w:t xml:space="preserve">$100+ (up ~50% since Feb 28)</w:t>
      </w:r>
    </w:p>
    <w:p>
      <w:pPr>
        <w:spacing w:after="80"/>
      </w:pPr>
      <w:r>
        <w:rPr>
          <w:rFonts w:ascii="Arial" w:cs="Arial" w:eastAsia="Arial" w:hAnsi="Arial"/>
          <w:color w:val="555555"/>
          <w:sz w:val="20"/>
          <w:szCs w:val="20"/>
        </w:rPr>
        <w:t xml:space="preserve">US Gasoline: </w:t>
      </w:r>
      <w:r>
        <w:rPr>
          <w:rFonts w:ascii="Arial" w:cs="Arial" w:eastAsia="Arial" w:hAnsi="Arial"/>
          <w:b/>
          <w:bCs/>
          <w:color w:val="C0392B"/>
          <w:sz w:val="20"/>
          <w:szCs w:val="20"/>
        </w:rPr>
        <w:t xml:space="preserve">$3.59/gal (+22% MoM)</w:t>
      </w:r>
    </w:p>
    <w:p>
      <w:pPr>
        <w:spacing w:after="80"/>
      </w:pPr>
      <w:r>
        <w:rPr>
          <w:rFonts w:ascii="Arial" w:cs="Arial" w:eastAsia="Arial" w:hAnsi="Arial"/>
          <w:color w:val="555555"/>
          <w:sz w:val="20"/>
          <w:szCs w:val="20"/>
        </w:rPr>
        <w:t xml:space="preserve">California Gas: </w:t>
      </w:r>
      <w:r>
        <w:rPr>
          <w:rFonts w:ascii="Arial" w:cs="Arial" w:eastAsia="Arial" w:hAnsi="Arial"/>
          <w:b/>
          <w:bCs/>
          <w:color w:val="C0392B"/>
          <w:sz w:val="20"/>
          <w:szCs w:val="20"/>
        </w:rPr>
        <w:t xml:space="preserve">&gt;$5.00/gal</w:t>
      </w:r>
    </w:p>
    <w:p>
      <w:pPr>
        <w:spacing w:after="80"/>
      </w:pPr>
      <w:r>
        <w:rPr>
          <w:rFonts w:ascii="Arial" w:cs="Arial" w:eastAsia="Arial" w:hAnsi="Arial"/>
          <w:color w:val="555555"/>
          <w:sz w:val="20"/>
          <w:szCs w:val="20"/>
        </w:rPr>
        <w:t xml:space="preserve">Gulf Supply Offline: </w:t>
      </w:r>
      <w:r>
        <w:rPr>
          <w:rFonts w:ascii="Arial" w:cs="Arial" w:eastAsia="Arial" w:hAnsi="Arial"/>
          <w:b/>
          <w:bCs/>
          <w:color w:val="C0392B"/>
          <w:sz w:val="20"/>
          <w:szCs w:val="20"/>
        </w:rPr>
        <w:t xml:space="preserve">&gt;10M bbl/day</w:t>
      </w:r>
    </w:p>
    <w:p>
      <w:pPr>
        <w:spacing w:after="80"/>
      </w:pPr>
      <w:r>
        <w:rPr>
          <w:rFonts w:ascii="Arial" w:cs="Arial" w:eastAsia="Arial" w:hAnsi="Arial"/>
          <w:color w:val="555555"/>
          <w:sz w:val="20"/>
          <w:szCs w:val="20"/>
        </w:rPr>
        <w:t xml:space="preserve">IEA SPR Release: </w:t>
      </w:r>
      <w:r>
        <w:rPr>
          <w:rFonts w:ascii="Arial" w:cs="Arial" w:eastAsia="Arial" w:hAnsi="Arial"/>
          <w:b/>
          <w:bCs/>
          <w:color w:val="C0392B"/>
          <w:sz w:val="20"/>
          <w:szCs w:val="20"/>
        </w:rPr>
        <w:t xml:space="preserve">400M barrels (largest ever)</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SCENARIOS (Rystad Energy): 2-month war = Brent $110 by April. 4-month war = Brent $135 by June. Wood Mackenzie: $150 needed for demand destruction. Their chairman: "$200/bbl is not outside the realms of possibility in 2026."</w:t>
      </w:r>
    </w:p>
    <w:p>
      <w:pPr>
        <w:pStyle w:val="Heading2"/>
      </w:pPr>
      <w:r>
        <w:t xml:space="preserve">Sector Impact Scorecard</w:t>
      </w:r>
    </w:p>
    <w:p>
      <w:pPr>
        <w:spacing w:after="160" w:before="0" w:line="276"/>
      </w:pPr>
      <w:r>
        <w:rPr>
          <w:rFonts w:ascii="Arial" w:cs="Arial" w:eastAsia="Arial" w:hAnsi="Arial"/>
          <w:b/>
          <w:bCs/>
          <w:color w:val="1B3A5C"/>
          <w:sz w:val="20"/>
          <w:szCs w:val="20"/>
        </w:rPr>
        <w:t xml:space="preserve">ENERGY: </w:t>
      </w:r>
      <w:r>
        <w:rPr>
          <w:rFonts w:ascii="Arial" w:cs="Arial" w:eastAsia="Arial" w:hAnsi="Arial"/>
          <w:color w:val="333333"/>
          <w:sz w:val="20"/>
          <w:szCs w:val="20"/>
        </w:rPr>
        <w:t xml:space="preserve">Clear winner. XOM and CVX surging, energy stocks +22% YTD. US is a net energy exporter — higher prices benefit US producers. Defence stocks (LMT, NOC) also bid hard.</w:t>
      </w:r>
    </w:p>
    <w:p>
      <w:pPr>
        <w:spacing w:after="160" w:before="0" w:line="276"/>
      </w:pPr>
      <w:r>
        <w:rPr>
          <w:rFonts w:ascii="Arial" w:cs="Arial" w:eastAsia="Arial" w:hAnsi="Arial"/>
          <w:b/>
          <w:bCs/>
          <w:color w:val="1B3A5C"/>
          <w:sz w:val="20"/>
          <w:szCs w:val="20"/>
        </w:rPr>
        <w:t xml:space="preserve">AIRLINES: </w:t>
      </w:r>
      <w:r>
        <w:rPr>
          <w:rFonts w:ascii="Arial" w:cs="Arial" w:eastAsia="Arial" w:hAnsi="Arial"/>
          <w:color w:val="333333"/>
          <w:sz w:val="20"/>
          <w:szCs w:val="20"/>
        </w:rPr>
        <w:t xml:space="preserve">Devastated. Airspace closures grounded thousands of flights. Emirates, BA, Lufthansa, Cathay Pacific, Virgin Atlantic all suspended Middle East routes. Fuel costs through the roof. AAL among worst performers.</w:t>
      </w:r>
    </w:p>
    <w:p>
      <w:pPr>
        <w:spacing w:after="160" w:before="0" w:line="276"/>
      </w:pPr>
      <w:r>
        <w:rPr>
          <w:rFonts w:ascii="Arial" w:cs="Arial" w:eastAsia="Arial" w:hAnsi="Arial"/>
          <w:b/>
          <w:bCs/>
          <w:color w:val="1B3A5C"/>
          <w:sz w:val="20"/>
          <w:szCs w:val="20"/>
        </w:rPr>
        <w:t xml:space="preserve">RETAIL/CONSUMER: </w:t>
      </w:r>
      <w:r>
        <w:rPr>
          <w:rFonts w:ascii="Arial" w:cs="Arial" w:eastAsia="Arial" w:hAnsi="Arial"/>
          <w:color w:val="333333"/>
          <w:sz w:val="20"/>
          <w:szCs w:val="20"/>
        </w:rPr>
        <w:t xml:space="preserve">Squeezed. Walmart +13.7% YTD (consumers trade down), Costco +15.7%. Discretionary crushed — Cons Disc worst S&amp;P sector. Food prices up 3.1% YoY, eating out +3.9%.</w:t>
      </w:r>
    </w:p>
    <w:p>
      <w:pPr>
        <w:spacing w:after="160" w:before="0" w:line="276"/>
      </w:pPr>
      <w:r>
        <w:rPr>
          <w:rFonts w:ascii="Arial" w:cs="Arial" w:eastAsia="Arial" w:hAnsi="Arial"/>
          <w:b/>
          <w:bCs/>
          <w:color w:val="1B3A5C"/>
          <w:sz w:val="20"/>
          <w:szCs w:val="20"/>
        </w:rPr>
        <w:t xml:space="preserve">INDUSTRIALS: </w:t>
      </w:r>
      <w:r>
        <w:rPr>
          <w:rFonts w:ascii="Arial" w:cs="Arial" w:eastAsia="Arial" w:hAnsi="Arial"/>
          <w:color w:val="333333"/>
          <w:sz w:val="20"/>
          <w:szCs w:val="20"/>
        </w:rPr>
        <w:t xml:space="preserve">Bifurcated. CAT +32% YTD (AI data center/infrastructure play). GE Vernova strong on power/grid theme. But transport names hurting from fuel.</w:t>
      </w:r>
    </w:p>
    <w:p>
      <w:pPr>
        <w:spacing w:after="160" w:before="0" w:line="276"/>
      </w:pPr>
      <w:r>
        <w:rPr>
          <w:rFonts w:ascii="Arial" w:cs="Arial" w:eastAsia="Arial" w:hAnsi="Arial"/>
          <w:b/>
          <w:bCs/>
          <w:color w:val="1B3A5C"/>
          <w:sz w:val="20"/>
          <w:szCs w:val="20"/>
        </w:rPr>
        <w:t xml:space="preserve">GOLD: </w:t>
      </w:r>
      <w:r>
        <w:rPr>
          <w:rFonts w:ascii="Arial" w:cs="Arial" w:eastAsia="Arial" w:hAnsi="Arial"/>
          <w:color w:val="333333"/>
          <w:sz w:val="20"/>
          <w:szCs w:val="20"/>
        </w:rPr>
        <w:t xml:space="preserve">Paradoxically rangebound at ~$5,175/oz. Initially spiked to $5,423 on Feb 28, then sold to $5,085 on margin calls/DXY strength. JPM YE target $6,300. Deutsche $6,000. Central bank buying providing structural floor.</w:t>
      </w:r>
    </w:p>
    <w:p>
      <w:pPr>
        <w:pStyle w:val="Heading2"/>
      </w:pPr>
      <w:r>
        <w:t xml:space="preserve">Central Bank Reaction Matrix</w:t>
      </w:r>
    </w:p>
    <w:p>
      <w:pPr>
        <w:spacing w:after="160" w:before="0" w:line="276"/>
        <w:jc w:val="left"/>
      </w:pPr>
      <w:r>
        <w:rPr>
          <w:rFonts w:ascii="Arial" w:cs="Arial" w:eastAsia="Arial" w:hAnsi="Arial"/>
          <w:color w:val="333333"/>
          <w:sz w:val="20"/>
          <w:szCs w:val="20"/>
        </w:rPr>
        <w:t xml:space="preserve">The war inserts a HAWKISH bias into global monetary policy at the worst possible moment. Every central bank is now trapped between inflation and growth.</w:t>
      </w:r>
    </w:p>
    <w:p>
      <w:pPr>
        <w:spacing w:after="160" w:before="0" w:line="276"/>
      </w:pPr>
      <w:r>
        <w:rPr>
          <w:rFonts w:ascii="Arial" w:cs="Arial" w:eastAsia="Arial" w:hAnsi="Arial"/>
          <w:b/>
          <w:bCs/>
          <w:color w:val="1B3A5C"/>
          <w:sz w:val="20"/>
          <w:szCs w:val="20"/>
        </w:rPr>
        <w:t xml:space="preserve">FED (Wed Mar 18): </w:t>
      </w:r>
      <w:r>
        <w:rPr>
          <w:rFonts w:ascii="Arial" w:cs="Arial" w:eastAsia="Arial" w:hAnsi="Arial"/>
          <w:color w:val="333333"/>
          <w:sz w:val="20"/>
          <w:szCs w:val="20"/>
        </w:rPr>
        <w:t xml:space="preserve">HOLD at current rate. No question. Feb CPI 2.4% pre-war, but oil spike will push CPI toward 3%+ (GS estimate). Feb NFP: -92K jobs. Labour market cracking BUT inflation re-accelerating. Classic stagflation bind. Futures now pricing NO cut before July (67% probability, up from 28% a month ago). Yellen: “The Iran situation puts the Fed even more on hold.”</w:t>
      </w:r>
    </w:p>
    <w:p>
      <w:pPr>
        <w:spacing w:after="160" w:before="0" w:line="276"/>
      </w:pPr>
      <w:r>
        <w:rPr>
          <w:rFonts w:ascii="Arial" w:cs="Arial" w:eastAsia="Arial" w:hAnsi="Arial"/>
          <w:b/>
          <w:bCs/>
          <w:color w:val="1B3A5C"/>
          <w:sz w:val="20"/>
          <w:szCs w:val="20"/>
        </w:rPr>
        <w:t xml:space="preserve">ECB (Thu Mar 19): </w:t>
      </w:r>
      <w:r>
        <w:rPr>
          <w:rFonts w:ascii="Arial" w:cs="Arial" w:eastAsia="Arial" w:hAnsi="Arial"/>
          <w:color w:val="333333"/>
          <w:sz w:val="20"/>
          <w:szCs w:val="20"/>
        </w:rPr>
        <w:t xml:space="preserve">HOLD at 2.0%. Brent +54%, TTF gas +61% since Feb 28. Markets now pricing 2 HIKES by year-end — a complete 180 from the rate-cut consensus. Bundesbank’s Nagel: will “act decisively” if oil feeds into inflation. Kazmir: hike could be “closer than thought.” EZ growth could drop 0.2pp. EUR weakening vs USD, reversing the strong-EUR narrative. ING’s Brzeski: “The discussion about further rate cuts has largely come to an end.”</w:t>
      </w:r>
    </w:p>
    <w:p>
      <w:pPr>
        <w:spacing w:after="160" w:before="0" w:line="276"/>
      </w:pPr>
      <w:r>
        <w:rPr>
          <w:rFonts w:ascii="Arial" w:cs="Arial" w:eastAsia="Arial" w:hAnsi="Arial"/>
          <w:b/>
          <w:bCs/>
          <w:color w:val="1B3A5C"/>
          <w:sz w:val="20"/>
          <w:szCs w:val="20"/>
        </w:rPr>
        <w:t xml:space="preserve">BOE (Thu Mar 19): </w:t>
      </w:r>
      <w:r>
        <w:rPr>
          <w:rFonts w:ascii="Arial" w:cs="Arial" w:eastAsia="Arial" w:hAnsi="Arial"/>
          <w:color w:val="333333"/>
          <w:sz w:val="20"/>
          <w:szCs w:val="20"/>
        </w:rPr>
        <w:t xml:space="preserve">HOLD. UK gilts yields edging higher. BoE caught between weak growth and imported energy inflation. Rate cuts delayed but not derailed per BNY’s Geoff Yu.</w:t>
      </w:r>
    </w:p>
    <w:p>
      <w:pPr>
        <w:spacing w:after="160" w:before="0" w:line="276"/>
      </w:pPr>
      <w:r>
        <w:rPr>
          <w:rFonts w:ascii="Arial" w:cs="Arial" w:eastAsia="Arial" w:hAnsi="Arial"/>
          <w:b/>
          <w:bCs/>
          <w:color w:val="1B3A5C"/>
          <w:sz w:val="20"/>
          <w:szCs w:val="20"/>
        </w:rPr>
        <w:t xml:space="preserve">BOJ: </w:t>
      </w:r>
      <w:r>
        <w:rPr>
          <w:rFonts w:ascii="Arial" w:cs="Arial" w:eastAsia="Arial" w:hAnsi="Arial"/>
          <w:color w:val="333333"/>
          <w:sz w:val="20"/>
          <w:szCs w:val="20"/>
        </w:rPr>
        <w:t xml:space="preserve">Stays the course. Rate at 0.75% (30-year high). Deputy Gov says won’t shift trajectory due to Middle East. But Japan imports 90% of oil from ME — massive headwind. IMF expects 2 more hikes in 2026. JPY WEAKENED despite risk-off (not behaving as safe haven due to energy import vulnerability).</w:t>
      </w:r>
    </w:p>
    <w:p>
      <w:pPr>
        <w:spacing w:after="160" w:before="0" w:line="276"/>
      </w:pPr>
      <w:r>
        <w:rPr>
          <w:rFonts w:ascii="Arial" w:cs="Arial" w:eastAsia="Arial" w:hAnsi="Arial"/>
          <w:b/>
          <w:bCs/>
          <w:color w:val="1B3A5C"/>
          <w:sz w:val="20"/>
          <w:szCs w:val="20"/>
        </w:rPr>
        <w:t xml:space="preserve">SNB (Thu Mar 19): </w:t>
      </w:r>
      <w:r>
        <w:rPr>
          <w:rFonts w:ascii="Arial" w:cs="Arial" w:eastAsia="Arial" w:hAnsi="Arial"/>
          <w:color w:val="333333"/>
          <w:sz w:val="20"/>
          <w:szCs w:val="20"/>
        </w:rPr>
        <w:t xml:space="preserve">Already at low rates. CHF benefiting from safe-haven flows. Limited room to manoeuvre.</w:t>
      </w:r>
    </w:p>
    <w:p>
      <w:pPr>
        <w:spacing w:after="160" w:before="0" w:line="276"/>
      </w:pPr>
      <w:r>
        <w:rPr>
          <w:rFonts w:ascii="Arial" w:cs="Arial" w:eastAsia="Arial" w:hAnsi="Arial"/>
          <w:b/>
          <w:bCs/>
          <w:color w:val="1B3A5C"/>
          <w:sz w:val="20"/>
          <w:szCs w:val="20"/>
        </w:rPr>
        <w:t xml:space="preserve">BOK (Korea): </w:t>
      </w:r>
      <w:r>
        <w:rPr>
          <w:rFonts w:ascii="Arial" w:cs="Arial" w:eastAsia="Arial" w:hAnsi="Arial"/>
          <w:color w:val="333333"/>
          <w:sz w:val="20"/>
          <w:szCs w:val="20"/>
        </w:rPr>
        <w:t xml:space="preserve">Highly exposed — Korea sources ~75% of oil from Gulf. KRW under pressure. Likely to hold, lean hawkish.</w:t>
      </w:r>
    </w:p>
    <w:p>
      <w:pPr>
        <w:spacing w:after="160" w:before="0" w:line="276"/>
      </w:pPr>
      <w:r>
        <w:rPr>
          <w:rFonts w:ascii="Arial" w:cs="Arial" w:eastAsia="Arial" w:hAnsi="Arial"/>
          <w:b/>
          <w:bCs/>
          <w:color w:val="1B3A5C"/>
          <w:sz w:val="20"/>
          <w:szCs w:val="20"/>
        </w:rPr>
        <w:t xml:space="preserve">RBA (Australia): </w:t>
      </w:r>
      <w:r>
        <w:rPr>
          <w:rFonts w:ascii="Arial" w:cs="Arial" w:eastAsia="Arial" w:hAnsi="Arial"/>
          <w:color w:val="333333"/>
          <w:sz w:val="20"/>
          <w:szCs w:val="20"/>
        </w:rPr>
        <w:t xml:space="preserve">Less directly exposed as commodity exporter, but global inflation passthrough a concern. AUD mixed.</w:t>
      </w:r>
    </w:p>
    <w:p>
      <w:pPr>
        <w:spacing w:after="160" w:before="0" w:line="276"/>
      </w:pPr>
      <w:r>
        <w:rPr>
          <w:rFonts w:ascii="Arial" w:cs="Arial" w:eastAsia="Arial" w:hAnsi="Arial"/>
          <w:b/>
          <w:bCs/>
          <w:color w:val="1B3A5C"/>
          <w:sz w:val="20"/>
          <w:szCs w:val="20"/>
        </w:rPr>
        <w:t xml:space="preserve">BOC (Canada): </w:t>
      </w:r>
      <w:r>
        <w:rPr>
          <w:rFonts w:ascii="Arial" w:cs="Arial" w:eastAsia="Arial" w:hAnsi="Arial"/>
          <w:color w:val="333333"/>
          <w:sz w:val="20"/>
          <w:szCs w:val="20"/>
        </w:rPr>
        <w:t xml:space="preserve">Energy exporter — benefits from higher oil. CAD strengthening. But housing market fragile. On hold.</w:t>
      </w:r>
    </w:p>
    <w:p>
      <w:pPr>
        <w:pStyle w:val="Heading2"/>
      </w:pPr>
      <w:r>
        <w:t xml:space="preserve">Currency Impact</w:t>
      </w:r>
    </w:p>
    <w:p>
      <w:pPr>
        <w:spacing w:after="160" w:before="0" w:line="276"/>
        <w:jc w:val="left"/>
      </w:pPr>
      <w:r>
        <w:rPr>
          <w:rFonts w:ascii="Arial" w:cs="Arial" w:eastAsia="Arial" w:hAnsi="Arial"/>
          <w:color w:val="333333"/>
          <w:sz w:val="20"/>
          <w:szCs w:val="20"/>
        </w:rPr>
        <w:t xml:space="preserve">DXY posted biggest 2-day rally in nearly a year at war onset. Dollar reclaiming ultimate haven status per Bloomberg. EUR weakening (reversing the strong-EUR narrative that drove “sell US”). JPY weakening (NOT acting as haven — energy import vulnerability). CHF, USD the true safe havens. EM FX under broad pressure, particularly Asian importers (KRW, INR, THB). CAD relatively firm (petro-currency). GBP weakened on energy inflation fears.</w:t>
      </w:r>
    </w:p>
    <w:p>
      <w:pPr>
        <w:pBdr>
          <w:bottom w:val="single" w:color="1B3A5C" w:sz="6" w:space="4"/>
        </w:pBdr>
        <w:spacing w:after="200" w:before="200"/>
      </w:pPr>
    </w:p>
    <w:p>
      <w:pPr>
        <w:pStyle w:val="Heading1"/>
      </w:pPr>
      <w:r>
        <w:t xml:space="preserve">3. PRIVATE CREDIT: THE SLOW-MOTION UNWIND</w:t>
      </w:r>
    </w:p>
    <w:p>
      <w:pPr>
        <w:pStyle w:val="Heading2"/>
      </w:pPr>
      <w:r>
        <w:t xml:space="preserve">State of Play</w:t>
      </w:r>
    </w:p>
    <w:p>
      <w:pPr>
        <w:spacing w:after="160" w:before="0" w:line="276"/>
        <w:jc w:val="left"/>
      </w:pPr>
      <w:r>
        <w:rPr>
          <w:rFonts w:ascii="Arial" w:cs="Arial" w:eastAsia="Arial" w:hAnsi="Arial"/>
          <w:color w:val="333333"/>
          <w:sz w:val="20"/>
          <w:szCs w:val="20"/>
        </w:rPr>
        <w:t xml:space="preserve">The $1.7-1.8T private credit market is facing its most challenging environment since 2008. PIMCO’s Christian Stracke: “There is a reckoning going on right now. It’s not just a crisis of confidence, it’s a crisis of really bad underwriting.” The headline default rate looks benign at &lt;2%, but the “TRUE” default rate (including selective defaults, LMEs, and PIK toggles) is approaching 5%. UBS has warned of a potential 15% default rate scenario. $162B maturity wall hitting in 2026 — debt that MUST be refinanced at much higher rates.</w:t>
      </w:r>
    </w:p>
    <w:p>
      <w:pPr>
        <w:spacing w:after="80"/>
      </w:pPr>
      <w:r>
        <w:rPr>
          <w:rFonts w:ascii="Arial" w:cs="Arial" w:eastAsia="Arial" w:hAnsi="Arial"/>
          <w:color w:val="555555"/>
          <w:sz w:val="20"/>
          <w:szCs w:val="20"/>
        </w:rPr>
        <w:t xml:space="preserve">Market Size: </w:t>
      </w:r>
      <w:r>
        <w:rPr>
          <w:rFonts w:ascii="Arial" w:cs="Arial" w:eastAsia="Arial" w:hAnsi="Arial"/>
          <w:b/>
          <w:bCs/>
          <w:color w:val="C0392B"/>
          <w:sz w:val="20"/>
          <w:szCs w:val="20"/>
        </w:rPr>
        <w:t xml:space="preserve">$1.7-1.8 Trillion</w:t>
      </w:r>
    </w:p>
    <w:p>
      <w:pPr>
        <w:spacing w:after="80"/>
      </w:pPr>
      <w:r>
        <w:rPr>
          <w:rFonts w:ascii="Arial" w:cs="Arial" w:eastAsia="Arial" w:hAnsi="Arial"/>
          <w:color w:val="555555"/>
          <w:sz w:val="20"/>
          <w:szCs w:val="20"/>
        </w:rPr>
        <w:t xml:space="preserve">Headline Default Rate: </w:t>
      </w:r>
      <w:r>
        <w:rPr>
          <w:rFonts w:ascii="Arial" w:cs="Arial" w:eastAsia="Arial" w:hAnsi="Arial"/>
          <w:b/>
          <w:bCs/>
          <w:color w:val="C0392B"/>
          <w:sz w:val="20"/>
          <w:szCs w:val="20"/>
        </w:rPr>
        <w:t xml:space="preserve">&lt;2%</w:t>
      </w:r>
    </w:p>
    <w:p>
      <w:pPr>
        <w:spacing w:after="80"/>
      </w:pPr>
      <w:r>
        <w:rPr>
          <w:rFonts w:ascii="Arial" w:cs="Arial" w:eastAsia="Arial" w:hAnsi="Arial"/>
          <w:color w:val="555555"/>
          <w:sz w:val="20"/>
          <w:szCs w:val="20"/>
        </w:rPr>
        <w:t xml:space="preserve">True Default Rate (incl. LMEs): </w:t>
      </w:r>
      <w:r>
        <w:rPr>
          <w:rFonts w:ascii="Arial" w:cs="Arial" w:eastAsia="Arial" w:hAnsi="Arial"/>
          <w:b/>
          <w:bCs/>
          <w:color w:val="C0392B"/>
          <w:sz w:val="20"/>
          <w:szCs w:val="20"/>
        </w:rPr>
        <w:t xml:space="preserve">~5%</w:t>
      </w:r>
    </w:p>
    <w:p>
      <w:pPr>
        <w:spacing w:after="80"/>
      </w:pPr>
      <w:r>
        <w:rPr>
          <w:rFonts w:ascii="Arial" w:cs="Arial" w:eastAsia="Arial" w:hAnsi="Arial"/>
          <w:color w:val="555555"/>
          <w:sz w:val="20"/>
          <w:szCs w:val="20"/>
        </w:rPr>
        <w:t xml:space="preserve">UBS Worst Case Warning: </w:t>
      </w:r>
      <w:r>
        <w:rPr>
          <w:rFonts w:ascii="Arial" w:cs="Arial" w:eastAsia="Arial" w:hAnsi="Arial"/>
          <w:b/>
          <w:bCs/>
          <w:color w:val="C0392B"/>
          <w:sz w:val="20"/>
          <w:szCs w:val="20"/>
        </w:rPr>
        <w:t xml:space="preserve">15%</w:t>
      </w:r>
    </w:p>
    <w:p>
      <w:pPr>
        <w:spacing w:after="80"/>
      </w:pPr>
      <w:r>
        <w:rPr>
          <w:rFonts w:ascii="Arial" w:cs="Arial" w:eastAsia="Arial" w:hAnsi="Arial"/>
          <w:color w:val="555555"/>
          <w:sz w:val="20"/>
          <w:szCs w:val="20"/>
        </w:rPr>
        <w:t xml:space="preserve">2026 Maturity Wall: </w:t>
      </w:r>
      <w:r>
        <w:rPr>
          <w:rFonts w:ascii="Arial" w:cs="Arial" w:eastAsia="Arial" w:hAnsi="Arial"/>
          <w:b/>
          <w:bCs/>
          <w:color w:val="C0392B"/>
          <w:sz w:val="20"/>
          <w:szCs w:val="20"/>
        </w:rPr>
        <w:t xml:space="preserve">$162B</w:t>
      </w:r>
    </w:p>
    <w:p>
      <w:pPr>
        <w:spacing w:after="80"/>
      </w:pPr>
      <w:r>
        <w:rPr>
          <w:rFonts w:ascii="Arial" w:cs="Arial" w:eastAsia="Arial" w:hAnsi="Arial"/>
          <w:color w:val="555555"/>
          <w:sz w:val="20"/>
          <w:szCs w:val="20"/>
        </w:rPr>
        <w:t xml:space="preserve">PIK Income at Public BDCs: </w:t>
      </w:r>
      <w:r>
        <w:rPr>
          <w:rFonts w:ascii="Arial" w:cs="Arial" w:eastAsia="Arial" w:hAnsi="Arial"/>
          <w:b/>
          <w:bCs/>
          <w:color w:val="C0392B"/>
          <w:sz w:val="20"/>
          <w:szCs w:val="20"/>
        </w:rPr>
        <w:t xml:space="preserve">8% of investment income</w:t>
      </w:r>
    </w:p>
    <w:p>
      <w:pPr>
        <w:pStyle w:val="Heading2"/>
      </w:pPr>
      <w:r>
        <w:t xml:space="preserve">The Software-Credit Nexus</w:t>
      </w:r>
    </w:p>
    <w:p>
      <w:pPr>
        <w:spacing w:after="160" w:before="0" w:line="276"/>
        <w:jc w:val="left"/>
      </w:pPr>
      <w:r>
        <w:rPr>
          <w:rFonts w:ascii="Arial" w:cs="Arial" w:eastAsia="Arial" w:hAnsi="Arial"/>
          <w:color w:val="333333"/>
          <w:sz w:val="20"/>
          <w:szCs w:val="20"/>
        </w:rPr>
        <w:t xml:space="preserve">Software represents ~40% of all sponsor-backed private credit loans. The SaaSpocalypse just blew a hole through the collateral base. AI disruption has eroded competitive moats of many SaaS companies, leading to a valuation collapse and a “distribution drought” for PE firms that can’t exit. Blue Owl Capital is the poster child — restricted withdrawals in November, bought back 15% of one fund in February. Blackstone BCRED: investors sought $3.8B (7.9% of assets) in redemptions; firm committed $400M of its own capital. BlackRock restricted withdrawals on its $26B HPS Lending Fund. Morgan Stanley got 10.9% repurchase requests on North Haven fund. Cliffwater’s $33B flagship facing 7% withdrawal requests.</w:t>
      </w:r>
    </w:p>
    <w:p>
      <w:pPr>
        <w:pStyle w:val="Heading2"/>
      </w:pPr>
      <w:r>
        <w:t xml:space="preserve">Contagion Pathways &amp; Systemic Risk Assessment</w:t>
      </w:r>
    </w:p>
    <w:p>
      <w:pPr>
        <w:spacing w:after="160" w:before="0" w:line="276"/>
        <w:jc w:val="left"/>
      </w:pPr>
      <w:r>
        <w:rPr>
          <w:rFonts w:ascii="Arial" w:cs="Arial" w:eastAsia="Arial" w:hAnsi="Arial"/>
          <w:color w:val="333333"/>
          <w:sz w:val="20"/>
          <w:szCs w:val="20"/>
        </w:rPr>
        <w:t xml:space="preserve">JPMorgan is restricting lending to private credit funds after marking down loan values. DOJ publicly warned about “creative” marks and divergent valuation practices. SEC investigating Egan-Jones Ratings. BlackRock CLO failed over-collateralisation tests. Jamie Dimon used the “cockroach” analogy — when you find one problem, more are nearby.</w:t>
      </w:r>
    </w:p>
    <w:p>
      <w:pPr>
        <w:spacing w:after="160" w:before="0" w:line="276"/>
      </w:pPr>
      <w:r>
        <w:rPr>
          <w:rFonts w:ascii="Arial" w:cs="Arial" w:eastAsia="Arial" w:hAnsi="Arial"/>
          <w:b/>
          <w:bCs/>
          <w:color w:val="1B3A5C"/>
          <w:sz w:val="20"/>
          <w:szCs w:val="20"/>
        </w:rPr>
        <w:t xml:space="preserve">BULL CASE (Goldman, Howard Marks, Fisher): </w:t>
      </w:r>
      <w:r>
        <w:rPr>
          <w:rFonts w:ascii="Arial" w:cs="Arial" w:eastAsia="Arial" w:hAnsi="Arial"/>
          <w:color w:val="333333"/>
          <w:sz w:val="20"/>
          <w:szCs w:val="20"/>
        </w:rPr>
        <w:t xml:space="preserve">~80% of direct lending in locked-up drawdown funds/SMAs/BDCs with no on-demand redemption. Only ~$220B sits in retail-facing evergreen funds (the vulnerability). Marks: “There’s not a systemic problem with private credit.” No 2008-style mark-to-market transmission mechanism. PIMCO’s Stracke: mid-single-digit defaults for a couple years, returns drop to ~6% from ~10%, but no credit spiral as long as the economy holds.</w:t>
      </w:r>
    </w:p>
    <w:p>
      <w:pPr>
        <w:spacing w:after="160" w:before="0" w:line="276"/>
      </w:pPr>
      <w:r>
        <w:rPr>
          <w:rFonts w:ascii="Arial" w:cs="Arial" w:eastAsia="Arial" w:hAnsi="Arial"/>
          <w:b/>
          <w:bCs/>
          <w:color w:val="1B3A5C"/>
          <w:sz w:val="20"/>
          <w:szCs w:val="20"/>
        </w:rPr>
        <w:t xml:space="preserve">BEAR CASE (Gundlach, Citrini): </w:t>
      </w:r>
      <w:r>
        <w:rPr>
          <w:rFonts w:ascii="Arial" w:cs="Arial" w:eastAsia="Arial" w:hAnsi="Arial"/>
          <w:color w:val="333333"/>
          <w:sz w:val="20"/>
          <w:szCs w:val="20"/>
        </w:rPr>
        <w:t xml:space="preserve">Jeffrey Gundlach calls private credit the “top candidate to start the next financial crisis.” Semiliquid ETFs are the “ultimate sin.” The AI factor is toxic — companies whose moats can be bridged by AI are un-lendable. Expect significant down-rounds and asset write-downs in Q2 earnings. If higher-for-longer rates persist (which the Iran war ensures), SME cash flows deteriorate materially. The current rhyme is with structured finance circa 2007-08, albeit different structure.</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NEXT 4-8 WEEKS: Watch BDC redemption gates. If more firms follow Blue Owl/BlackRock in restricting exits, retail panic intensifies. Q2 earnings season is the real stress test — mark-to-market writedowns on software exposure will be the catalyst. Bank contagion risk is LOW for now (different transmission mechanism vs 2008) but monitor JPM/GS warehouse lines to PC funds closely.</w:t>
      </w:r>
    </w:p>
    <w:p>
      <w:pPr>
        <w:pBdr>
          <w:bottom w:val="single" w:color="1B3A5C" w:sz="6" w:space="4"/>
        </w:pBdr>
        <w:spacing w:after="200" w:before="200"/>
      </w:pPr>
    </w:p>
    <w:p>
      <w:pPr>
        <w:pStyle w:val="Heading1"/>
      </w:pPr>
      <w:r>
        <w:t xml:space="preserve">4. SELL US / BUY ROW: IS THE TRADE DEAD?</w:t>
      </w:r>
    </w:p>
    <w:p>
      <w:pPr>
        <w:pStyle w:val="Heading2"/>
      </w:pPr>
      <w:r>
        <w:t xml:space="preserve">Pre-War Setup</w:t>
      </w:r>
    </w:p>
    <w:p>
      <w:pPr>
        <w:spacing w:after="160" w:before="0" w:line="276"/>
        <w:jc w:val="left"/>
      </w:pPr>
      <w:r>
        <w:rPr>
          <w:rFonts w:ascii="Arial" w:cs="Arial" w:eastAsia="Arial" w:hAnsi="Arial"/>
          <w:color w:val="333333"/>
          <w:sz w:val="20"/>
          <w:szCs w:val="20"/>
        </w:rPr>
        <w:t xml:space="preserve">Before Feb 28, the dominant macro trade was: underweight US (overvalued tech, Shiller P/E at 46x), overweight Europe (cheap, fiscal stimulus from defence spending, ECB cutting). European equities outperformed US in both dollar and euro terms since the US election. Germany’s defence spending unlocked, EU fiscal compact loosened. STOXX 600 forecast to new highs by mid-2026. Euro projected to 1.25 vs USD. The “dollar diversification trade” was in full swing — gold, metals, mining, international and small-cap stocks all benefiting.</w:t>
      </w:r>
    </w:p>
    <w:p>
      <w:pPr>
        <w:pStyle w:val="Heading2"/>
      </w:pPr>
      <w:r>
        <w:t xml:space="preserve">Post-War Reality: Partial Reversal</w:t>
      </w:r>
    </w:p>
    <w:p>
      <w:pPr>
        <w:spacing w:after="160" w:before="0" w:line="276"/>
        <w:jc w:val="left"/>
      </w:pPr>
      <w:r>
        <w:rPr>
          <w:rFonts w:ascii="Arial" w:cs="Arial" w:eastAsia="Arial" w:hAnsi="Arial"/>
          <w:color w:val="333333"/>
          <w:sz w:val="20"/>
          <w:szCs w:val="20"/>
        </w:rPr>
        <w:t xml:space="preserve">The Iran war has PARTIALLY reversed this trade, but not killed it. Here’s the nuance:</w:t>
      </w:r>
    </w:p>
    <w:p>
      <w:pPr>
        <w:spacing w:after="160" w:before="0" w:line="276"/>
      </w:pPr>
      <w:r>
        <w:rPr>
          <w:rFonts w:ascii="Arial" w:cs="Arial" w:eastAsia="Arial" w:hAnsi="Arial"/>
          <w:b/>
          <w:bCs/>
          <w:color w:val="1B3A5C"/>
          <w:sz w:val="20"/>
          <w:szCs w:val="20"/>
        </w:rPr>
        <w:t xml:space="preserve">WHAT REVERSED: </w:t>
      </w:r>
      <w:r>
        <w:rPr>
          <w:rFonts w:ascii="Arial" w:cs="Arial" w:eastAsia="Arial" w:hAnsi="Arial"/>
          <w:color w:val="333333"/>
          <w:sz w:val="20"/>
          <w:szCs w:val="20"/>
        </w:rPr>
        <w:t xml:space="preserve">DXY surging (biggest 2-day rally in a year). EUR weakened — the strong-EUR narrative is dead for now. EU growth downgraded 0.2pp. European energy vulnerability re-exposed (TTF gas +61%). Deloitte: DAX -6.8%, Nikkei -7.9% vs S&amp;P only -2% since war began. US outperformance due to net energy exporter status.</w:t>
      </w:r>
    </w:p>
    <w:p>
      <w:pPr>
        <w:spacing w:after="160" w:before="0" w:line="276"/>
      </w:pPr>
      <w:r>
        <w:rPr>
          <w:rFonts w:ascii="Arial" w:cs="Arial" w:eastAsia="Arial" w:hAnsi="Arial"/>
          <w:b/>
          <w:bCs/>
          <w:color w:val="1B3A5C"/>
          <w:sz w:val="20"/>
          <w:szCs w:val="20"/>
        </w:rPr>
        <w:t xml:space="preserve">WHAT DIDN’T REVERSE: </w:t>
      </w:r>
      <w:r>
        <w:rPr>
          <w:rFonts w:ascii="Arial" w:cs="Arial" w:eastAsia="Arial" w:hAnsi="Arial"/>
          <w:color w:val="333333"/>
          <w:sz w:val="20"/>
          <w:szCs w:val="20"/>
        </w:rPr>
        <w:t xml:space="preserve">The fundamental rotation out of US tech INTO value/real economy is intact. Energy +22% YTD, industrials +16%, consumer defensives +13.3%. The Mag 7 are STILL lagging — on average 15% below ATHs, 6 of 7 topped Oct-Dec 2025. Equal-weight S&amp;P +3% vs cap-weighted. Small-cap earnings catching up. The AI infrastructure trade is real economy (CAT, GE Vernova, Vertiv, power/grid).</w:t>
      </w:r>
    </w:p>
    <w:p>
      <w:pPr>
        <w:pStyle w:val="Heading2"/>
      </w:pPr>
      <w:r>
        <w:t xml:space="preserve">US Relative Strengths in Wartime</w:t>
      </w:r>
    </w:p>
    <w:p>
      <w:pPr>
        <w:spacing w:after="160" w:before="0" w:line="276"/>
        <w:jc w:val="left"/>
      </w:pPr>
      <w:r>
        <w:rPr>
          <w:rFonts w:ascii="Arial" w:cs="Arial" w:eastAsia="Arial" w:hAnsi="Arial"/>
          <w:color w:val="333333"/>
          <w:sz w:val="20"/>
          <w:szCs w:val="20"/>
        </w:rPr>
        <w:t xml:space="preserve">1) Net energy exporter — higher oil is net positive to US GDP via producer surplus. 2) Defence-industrial complex — LMT, NOC, RTX all beneficiaries of higher defence outlays. 3) Dollar hegemony reinforced — DXY bid as ultimate haven. 4) AI capex engine is US-centric — $700B hyperscaler spend is mostly domestic. 5) Deepest/most liquid capital markets. 6) Morgan Stanley: markets historically post double-digit gains during wartime (both Gulf Wars). 7) The private credit mess is containable if Fed stays accommodative.</w:t>
      </w:r>
    </w:p>
    <w:p>
      <w:pPr>
        <w:spacing w:after="160" w:before="0" w:line="276"/>
      </w:pPr>
      <w:r>
        <w:rPr>
          <w:rFonts w:ascii="Arial" w:cs="Arial" w:eastAsia="Arial" w:hAnsi="Arial"/>
          <w:b/>
          <w:bCs/>
          <w:color w:val="1B3A5C"/>
          <w:sz w:val="20"/>
          <w:szCs w:val="20"/>
        </w:rPr>
        <w:t xml:space="preserve">BOTTOM LINE: </w:t>
      </w:r>
      <w:r>
        <w:rPr>
          <w:rFonts w:ascii="Arial" w:cs="Arial" w:eastAsia="Arial" w:hAnsi="Arial"/>
          <w:color w:val="333333"/>
          <w:sz w:val="20"/>
          <w:szCs w:val="20"/>
        </w:rPr>
        <w:t xml:space="preserve">The “sell US” theme morphs rather than dies. It’s no longer about selling US wholesale. It’s about selling US TECH and buying US REAL ECONOMY (energy, defence, industrials, infrastructure). Europe/Japan now LESS attractive short-term due to energy import vulnerability. The trade is: long US energy/defence/infra, short US SaaS/discretionary, tactically neutral Europe until energy picture clears.</w:t>
      </w:r>
    </w:p>
    <w:p>
      <w:pPr>
        <w:pBdr>
          <w:bottom w:val="single" w:color="1B3A5C" w:sz="6" w:space="4"/>
        </w:pBdr>
        <w:spacing w:after="200" w:before="200"/>
      </w:pPr>
    </w:p>
    <w:p>
      <w:pPr>
        <w:pStyle w:val="Heading1"/>
      </w:pPr>
      <w:r>
        <w:t xml:space="preserve">5. MARKET POSITIONING &amp; FLOW DYNAMICS</w:t>
      </w:r>
    </w:p>
    <w:p>
      <w:pPr>
        <w:pStyle w:val="Heading2"/>
      </w:pPr>
      <w:r>
        <w:t xml:space="preserve">Hedge Funds</w:t>
      </w:r>
    </w:p>
    <w:p>
      <w:pPr>
        <w:spacing w:after="160" w:before="0" w:line="276"/>
        <w:jc w:val="left"/>
      </w:pPr>
      <w:r>
        <w:rPr>
          <w:rFonts w:ascii="Arial" w:cs="Arial" w:eastAsia="Arial" w:hAnsi="Arial"/>
          <w:color w:val="333333"/>
          <w:sz w:val="20"/>
          <w:szCs w:val="20"/>
        </w:rPr>
        <w:t xml:space="preserve">Goldman PB data: HF short exposure on index/ETF products at HIGHEST since Sept 2022. But they’re still net long single names — classic “macro hedge + micro alpha” setup. Goldman’s flood desk sees this as potential fuel for an EXTREME rally if Iran risk settles (short-covering squeeze). Sharp decline in HF exposure to software names specifically. BNP Paribas leverage indicator at lows last seen in November. Put-call skew on SPX at 2-year high — everyone is paying up for downside protection.</w:t>
      </w:r>
    </w:p>
    <w:p>
      <w:pPr>
        <w:pStyle w:val="Heading2"/>
      </w:pPr>
      <w:r>
        <w:t xml:space="preserve">Long-Only / Real Money</w:t>
      </w:r>
    </w:p>
    <w:p>
      <w:pPr>
        <w:spacing w:after="160" w:before="0" w:line="276"/>
        <w:jc w:val="left"/>
      </w:pPr>
      <w:r>
        <w:rPr>
          <w:rFonts w:ascii="Arial" w:cs="Arial" w:eastAsia="Arial" w:hAnsi="Arial"/>
          <w:color w:val="333333"/>
          <w:sz w:val="20"/>
          <w:szCs w:val="20"/>
        </w:rPr>
        <w:t xml:space="preserve">Major rotation underway: OUT of tech/growth/momentum, INTO value/defensives/energy. Morningstar’s barbell recommendation from January (overweight value + overweight AI infrastructure) is playing out perfectly. Consumer defensives gaining bid — Walmart, Costco, staples outperforming. Energy overweight becoming consensus. Long-only rebalancing at quarter-end could amplify these flows.</w:t>
      </w:r>
    </w:p>
    <w:p>
      <w:pPr>
        <w:pStyle w:val="Heading2"/>
      </w:pPr>
      <w:r>
        <w:t xml:space="preserve">Retail</w:t>
      </w:r>
    </w:p>
    <w:p>
      <w:pPr>
        <w:spacing w:after="160" w:before="0" w:line="276"/>
        <w:jc w:val="left"/>
      </w:pPr>
      <w:r>
        <w:rPr>
          <w:rFonts w:ascii="Arial" w:cs="Arial" w:eastAsia="Arial" w:hAnsi="Arial"/>
          <w:color w:val="333333"/>
          <w:sz w:val="20"/>
          <w:szCs w:val="20"/>
        </w:rPr>
        <w:t xml:space="preserve">AAII sentiment: bullish readings were at 78th-96th percentile since Oct 2025 — everyone was in. Now getting shaken out. BDC/private credit retail redemptions are the canary: BCRED, Blue Owl, BlackRock all gated. Retail pouring into short-dated tactical hedges per Citi’s Kaiser. Bitcoin crashed to $60K ahead of equities — proving its role as a lead indicator for risk appetite.</w:t>
      </w:r>
    </w:p>
    <w:p>
      <w:pPr>
        <w:pStyle w:val="Heading2"/>
      </w:pPr>
      <w:r>
        <w:t xml:space="preserve">Central Banks / Sovereign Wealth (FX &amp; Rates)</w:t>
      </w:r>
    </w:p>
    <w:p>
      <w:pPr>
        <w:spacing w:after="160" w:before="0" w:line="276"/>
        <w:jc w:val="left"/>
      </w:pPr>
      <w:r>
        <w:rPr>
          <w:rFonts w:ascii="Arial" w:cs="Arial" w:eastAsia="Arial" w:hAnsi="Arial"/>
          <w:color w:val="333333"/>
          <w:sz w:val="20"/>
          <w:szCs w:val="20"/>
        </w:rPr>
        <w:t xml:space="preserve">Central bank gold buying continues to provide structural floor (~$5,000-5,200). EM central banks actively intervening to defend currencies (particularly Asian FX). US Treasury 10Y at 4.17% — edging higher on inflation expectations. 5Y breakeven rate up 10bps. European bond yields rising as rate-hike pricing builds. Japan: JGB yields stable as BoJ maintains course. Swiss bonds bid on haven flows.</w:t>
      </w:r>
    </w:p>
    <w:p>
      <w:pPr>
        <w:pStyle w:val="Heading2"/>
      </w:pPr>
      <w:r>
        <w:t xml:space="preserve">Broker/Dealer</w:t>
      </w:r>
    </w:p>
    <w:p>
      <w:pPr>
        <w:spacing w:after="160" w:before="0" w:line="276"/>
        <w:jc w:val="left"/>
      </w:pPr>
      <w:r>
        <w:rPr>
          <w:rFonts w:ascii="Arial" w:cs="Arial" w:eastAsia="Arial" w:hAnsi="Arial"/>
          <w:color w:val="333333"/>
          <w:sz w:val="20"/>
          <w:szCs w:val="20"/>
        </w:rPr>
        <w:t xml:space="preserve">JPM restricting lending to private credit funds (marking down collateral). Insurance costs for Hormuz shipping have gone parabolic — Lloyd’s Market Association flagging risks. Banks are net sellers of software credit exposure. Vol desks running elevated inventory on both sides.</w:t>
      </w:r>
    </w:p>
    <w:p>
      <w:pPr>
        <w:pBdr>
          <w:bottom w:val="single" w:color="1B3A5C" w:sz="6" w:space="4"/>
        </w:pBdr>
        <w:spacing w:after="200" w:before="200"/>
      </w:pPr>
    </w:p>
    <w:p>
      <w:pPr>
        <w:pStyle w:val="Heading1"/>
      </w:pPr>
      <w:r>
        <w:t xml:space="preserve">6. EMERGING RISKS &amp; WILDCARDS</w:t>
      </w:r>
    </w:p>
    <w:p>
      <w:pPr>
        <w:spacing w:after="160" w:before="0" w:line="276"/>
      </w:pPr>
      <w:r>
        <w:rPr>
          <w:rFonts w:ascii="Arial" w:cs="Arial" w:eastAsia="Arial" w:hAnsi="Arial"/>
          <w:b/>
          <w:bCs/>
          <w:color w:val="1B3A5C"/>
          <w:sz w:val="20"/>
          <w:szCs w:val="20"/>
        </w:rPr>
        <w:t xml:space="preserve">DUAL-STRAIT DISRUPTION: </w:t>
      </w:r>
      <w:r>
        <w:rPr>
          <w:rFonts w:ascii="Arial" w:cs="Arial" w:eastAsia="Arial" w:hAnsi="Arial"/>
          <w:color w:val="333333"/>
          <w:sz w:val="20"/>
          <w:szCs w:val="20"/>
        </w:rPr>
        <w:t xml:space="preserve">Alpine Macro warns Houthi allies may try to close the Red Sea/Bab el-Mandeb simultaneously. That’s an additional 5M bbl/day disruption + Europe-Asia trade route impairment. This is the single biggest tail risk not priced in.</w:t>
      </w:r>
    </w:p>
    <w:p>
      <w:pPr>
        <w:spacing w:after="160" w:before="0" w:line="276"/>
      </w:pPr>
      <w:r>
        <w:rPr>
          <w:rFonts w:ascii="Arial" w:cs="Arial" w:eastAsia="Arial" w:hAnsi="Arial"/>
          <w:b/>
          <w:bCs/>
          <w:color w:val="1B3A5C"/>
          <w:sz w:val="20"/>
          <w:szCs w:val="20"/>
        </w:rPr>
        <w:t xml:space="preserve">FED CHAIR TRANSITION: </w:t>
      </w:r>
      <w:r>
        <w:rPr>
          <w:rFonts w:ascii="Arial" w:cs="Arial" w:eastAsia="Arial" w:hAnsi="Arial"/>
          <w:color w:val="333333"/>
          <w:sz w:val="20"/>
          <w:szCs w:val="20"/>
        </w:rPr>
        <w:t xml:space="preserve">Powell’s term expires May 2026. DOJ investigation into Powell ongoing. New chair historically triggers ~15% correction in first 6 months (Ned Davis Research). Market already fragile.</w:t>
      </w:r>
    </w:p>
    <w:p>
      <w:pPr>
        <w:spacing w:after="160" w:before="0" w:line="276"/>
      </w:pPr>
      <w:r>
        <w:rPr>
          <w:rFonts w:ascii="Arial" w:cs="Arial" w:eastAsia="Arial" w:hAnsi="Arial"/>
          <w:b/>
          <w:bCs/>
          <w:color w:val="1B3A5C"/>
          <w:sz w:val="20"/>
          <w:szCs w:val="20"/>
        </w:rPr>
        <w:t xml:space="preserve">CHINA RETALIATION RISK: </w:t>
      </w:r>
      <w:r>
        <w:rPr>
          <w:rFonts w:ascii="Arial" w:cs="Arial" w:eastAsia="Arial" w:hAnsi="Arial"/>
          <w:color w:val="333333"/>
          <w:sz w:val="20"/>
          <w:szCs w:val="20"/>
        </w:rPr>
        <w:t xml:space="preserve">China sources 25% of daily oil from Gulf. If Hormuz closure persists, Beijing faces an energy crisis. Could accelerate Taiwan tensions or trade retaliation. 75% of Gulf oil goes to Asia (China, India, Japan, Korea).</w:t>
      </w:r>
    </w:p>
    <w:p>
      <w:pPr>
        <w:spacing w:after="160" w:before="0" w:line="276"/>
      </w:pPr>
      <w:r>
        <w:rPr>
          <w:rFonts w:ascii="Arial" w:cs="Arial" w:eastAsia="Arial" w:hAnsi="Arial"/>
          <w:b/>
          <w:bCs/>
          <w:color w:val="1B3A5C"/>
          <w:sz w:val="20"/>
          <w:szCs w:val="20"/>
        </w:rPr>
        <w:t xml:space="preserve">AI BUBBLE RECKONING: </w:t>
      </w:r>
      <w:r>
        <w:rPr>
          <w:rFonts w:ascii="Arial" w:cs="Arial" w:eastAsia="Arial" w:hAnsi="Arial"/>
          <w:color w:val="333333"/>
          <w:sz w:val="20"/>
          <w:szCs w:val="20"/>
        </w:rPr>
        <w:t xml:space="preserve">If $700B in hyperscaler capex doesn’t translate to revenue by H2, the AI trade unwinds violently. BlackRock: the AI builders are “leveraging up” — investment front-loaded, revenue back-loaded. Private credit’s AI exposure creates a feedback loop.</w:t>
      </w:r>
    </w:p>
    <w:p>
      <w:pPr>
        <w:spacing w:after="160" w:before="0" w:line="276"/>
      </w:pPr>
      <w:r>
        <w:rPr>
          <w:rFonts w:ascii="Arial" w:cs="Arial" w:eastAsia="Arial" w:hAnsi="Arial"/>
          <w:b/>
          <w:bCs/>
          <w:color w:val="1B3A5C"/>
          <w:sz w:val="20"/>
          <w:szCs w:val="20"/>
        </w:rPr>
        <w:t xml:space="preserve">EUROPEAN FOOD INFLATION: </w:t>
      </w:r>
      <w:r>
        <w:rPr>
          <w:rFonts w:ascii="Arial" w:cs="Arial" w:eastAsia="Arial" w:hAnsi="Arial"/>
          <w:color w:val="333333"/>
          <w:sz w:val="20"/>
          <w:szCs w:val="20"/>
        </w:rPr>
        <w:t xml:space="preserve">UK’s Food Policy Institute warns of long-term food price increases from fuel/fertiliser disruption. This hits the European consumer who is already stretched.</w:t>
      </w:r>
    </w:p>
    <w:p>
      <w:pPr>
        <w:spacing w:after="160" w:before="0" w:line="276"/>
      </w:pPr>
      <w:r>
        <w:rPr>
          <w:rFonts w:ascii="Arial" w:cs="Arial" w:eastAsia="Arial" w:hAnsi="Arial"/>
          <w:b/>
          <w:bCs/>
          <w:color w:val="1B3A5C"/>
          <w:sz w:val="20"/>
          <w:szCs w:val="20"/>
        </w:rPr>
        <w:t xml:space="preserve">KHARG ISLAND ESCALATION: </w:t>
      </w:r>
      <w:r>
        <w:rPr>
          <w:rFonts w:ascii="Arial" w:cs="Arial" w:eastAsia="Arial" w:hAnsi="Arial"/>
          <w:color w:val="333333"/>
          <w:sz w:val="20"/>
          <w:szCs w:val="20"/>
        </w:rPr>
        <w:t xml:space="preserve">US attacked military sites on Iran’s top oil export terminal on Friday. 2,500 Marines deploying. If Kharg is destroyed, Iran’s revenue lifeline is severed — forces endgame but also removes Iranian supply from market for years.</w:t>
      </w:r>
    </w:p>
    <w:p>
      <w:pPr>
        <w:spacing w:after="160" w:before="0" w:line="276"/>
      </w:pPr>
      <w:r>
        <w:rPr>
          <w:rFonts w:ascii="Arial" w:cs="Arial" w:eastAsia="Arial" w:hAnsi="Arial"/>
          <w:b/>
          <w:bCs/>
          <w:color w:val="1B3A5C"/>
          <w:sz w:val="20"/>
          <w:szCs w:val="20"/>
        </w:rPr>
        <w:t xml:space="preserve">PRIVATE CREDIT CONTAGION: </w:t>
      </w:r>
      <w:r>
        <w:rPr>
          <w:rFonts w:ascii="Arial" w:cs="Arial" w:eastAsia="Arial" w:hAnsi="Arial"/>
          <w:color w:val="333333"/>
          <w:sz w:val="20"/>
          <w:szCs w:val="20"/>
        </w:rPr>
        <w:t xml:space="preserve">If BDC gates spread and Q2 writedowns are ugly, the narrative shifts from “idiosyncratic” to “systemic.” Watch insurance companies with private credit allocations — that’s the 2.0 transmission vector. Banks’ direct exposure is limited, but warehouse lending lines are the choke point.</w:t>
      </w:r>
    </w:p>
    <w:p>
      <w:pPr>
        <w:spacing w:after="160" w:before="0" w:line="276"/>
      </w:pPr>
      <w:r>
        <w:rPr>
          <w:rFonts w:ascii="Arial" w:cs="Arial" w:eastAsia="Arial" w:hAnsi="Arial"/>
          <w:b/>
          <w:bCs/>
          <w:color w:val="1B3A5C"/>
          <w:sz w:val="20"/>
          <w:szCs w:val="20"/>
        </w:rPr>
        <w:t xml:space="preserve">BITCOIN AS LEAD INDICATOR: </w:t>
      </w:r>
      <w:r>
        <w:rPr>
          <w:rFonts w:ascii="Arial" w:cs="Arial" w:eastAsia="Arial" w:hAnsi="Arial"/>
          <w:color w:val="333333"/>
          <w:sz w:val="20"/>
          <w:szCs w:val="20"/>
        </w:rPr>
        <w:t xml:space="preserve">BTC crashed to $60K before equities moved. If BTC breaks lower again, treat it as a canary for the next risk-off wave.</w:t>
      </w:r>
    </w:p>
    <w:p>
      <w:pPr>
        <w:pBdr>
          <w:bottom w:val="single" w:color="1B3A5C" w:sz="6" w:space="4"/>
        </w:pBdr>
        <w:spacing w:after="200" w:before="200"/>
      </w:pPr>
    </w:p>
    <w:p>
      <w:pPr>
        <w:pStyle w:val="Heading1"/>
      </w:pPr>
      <w:r>
        <w:t xml:space="preserve">7. ACTIONABLE FRAMEWORK</w:t>
      </w:r>
    </w:p>
    <w:p>
      <w:pPr>
        <w:spacing w:after="160" w:before="0" w:line="276"/>
        <w:jc w:val="left"/>
      </w:pPr>
      <w:r>
        <w:rPr>
          <w:rFonts w:ascii="Arial" w:cs="Arial" w:eastAsia="Arial" w:hAnsi="Arial"/>
          <w:color w:val="333333"/>
          <w:sz w:val="20"/>
          <w:szCs w:val="20"/>
        </w:rPr>
        <w:t xml:space="preserve">Duration is everything. A swift resolution (4-6 weeks) = oil back to $70-75, inflation transitory, markets rip on short-covering. A protracted war (3+ months) = Brent $110-135, CPI 3%+, rates higher-for-longer, recession risk.</w:t>
      </w:r>
    </w:p>
    <w:p>
      <w:pPr>
        <w:spacing w:after="160" w:before="0" w:line="276"/>
      </w:pPr>
      <w:r>
        <w:rPr>
          <w:rFonts w:ascii="Arial" w:cs="Arial" w:eastAsia="Arial" w:hAnsi="Arial"/>
          <w:b/>
          <w:bCs/>
          <w:color w:val="1B3A5C"/>
          <w:sz w:val="20"/>
          <w:szCs w:val="20"/>
        </w:rPr>
        <w:t xml:space="preserve">CONVICTION LONGS: </w:t>
      </w:r>
      <w:r>
        <w:rPr>
          <w:rFonts w:ascii="Arial" w:cs="Arial" w:eastAsia="Arial" w:hAnsi="Arial"/>
          <w:color w:val="333333"/>
          <w:sz w:val="20"/>
          <w:szCs w:val="20"/>
        </w:rPr>
        <w:t xml:space="preserve">US energy (XOM, CVX), US defence (LMT, NOC), AI infrastructure hardware (NVDA, AVGO, MRVL, TSM, VRT, CAT), gold on dips toward $5,000, USD vs EUR/JPY.</w:t>
      </w:r>
    </w:p>
    <w:p>
      <w:pPr>
        <w:spacing w:after="160" w:before="0" w:line="276"/>
      </w:pPr>
      <w:r>
        <w:rPr>
          <w:rFonts w:ascii="Arial" w:cs="Arial" w:eastAsia="Arial" w:hAnsi="Arial"/>
          <w:b/>
          <w:bCs/>
          <w:color w:val="1B3A5C"/>
          <w:sz w:val="20"/>
          <w:szCs w:val="20"/>
        </w:rPr>
        <w:t xml:space="preserve">CONVICTION SHORTS/UNDERWEIGHTS: </w:t>
      </w:r>
      <w:r>
        <w:rPr>
          <w:rFonts w:ascii="Arial" w:cs="Arial" w:eastAsia="Arial" w:hAnsi="Arial"/>
          <w:color w:val="333333"/>
          <w:sz w:val="20"/>
          <w:szCs w:val="20"/>
        </w:rPr>
        <w:t xml:space="preserve">SaaS with high PE-backed credit exposure, European/Japanese equities near-term, EM currencies (KRW, INR, THB), long-duration Treasuries.</w:t>
      </w:r>
    </w:p>
    <w:p>
      <w:pPr>
        <w:spacing w:after="160" w:before="0" w:line="276"/>
      </w:pPr>
      <w:r>
        <w:rPr>
          <w:rFonts w:ascii="Arial" w:cs="Arial" w:eastAsia="Arial" w:hAnsi="Arial"/>
          <w:b/>
          <w:bCs/>
          <w:color w:val="1B3A5C"/>
          <w:sz w:val="20"/>
          <w:szCs w:val="20"/>
        </w:rPr>
        <w:t xml:space="preserve">HEDGES: </w:t>
      </w:r>
      <w:r>
        <w:rPr>
          <w:rFonts w:ascii="Arial" w:cs="Arial" w:eastAsia="Arial" w:hAnsi="Arial"/>
          <w:color w:val="333333"/>
          <w:sz w:val="20"/>
          <w:szCs w:val="20"/>
        </w:rPr>
        <w:t xml:space="preserve">SPX put spreads (skew expensive but justified), crude call spreads, long vol via VIX calls.</w:t>
      </w:r>
    </w:p>
    <w:p>
      <w:pPr>
        <w:spacing w:after="160" w:before="0" w:line="276"/>
      </w:pPr>
      <w:r>
        <w:rPr>
          <w:rFonts w:ascii="Arial" w:cs="Arial" w:eastAsia="Arial" w:hAnsi="Arial"/>
          <w:b/>
          <w:bCs/>
          <w:color w:val="1B3A5C"/>
          <w:sz w:val="20"/>
          <w:szCs w:val="20"/>
        </w:rPr>
        <w:t xml:space="preserve">CONTRARIAN WATCH: </w:t>
      </w:r>
      <w:r>
        <w:rPr>
          <w:rFonts w:ascii="Arial" w:cs="Arial" w:eastAsia="Arial" w:hAnsi="Arial"/>
          <w:color w:val="333333"/>
          <w:sz w:val="20"/>
          <w:szCs w:val="20"/>
        </w:rPr>
        <w:t xml:space="preserve">Software names if IGV tests -30% (JPM, MS both say entry point approaching). European defence stocks on any dip. EM equities for post-war snap-back.</w:t>
      </w:r>
    </w:p>
    <w:p>
      <w:pPr>
        <w:pBdr>
          <w:top w:val="single" w:color="E6A817" w:sz="1"/>
          <w:bottom w:val="single" w:color="E6A817" w:sz="1"/>
        </w:pBdr>
        <w:shd w:fill="FFF3CD" w:val="clear"/>
        <w:spacing w:after="120" w:before="120"/>
        <w:ind w:left="360"/>
      </w:pPr>
      <w:r>
        <w:rPr>
          <w:rFonts w:ascii="Arial" w:cs="Arial" w:eastAsia="Arial" w:hAnsi="Arial"/>
          <w:b/>
          <w:bCs/>
          <w:i/>
          <w:iCs/>
          <w:color w:val="856404"/>
          <w:sz w:val="20"/>
          <w:szCs w:val="20"/>
        </w:rPr>
        <w:t xml:space="preserve">NEXT WEEK’S CATALYSTS: NVIDIA GTC (Mon-Thu), Fed decision (Wed), ECB/BoE/SNB (Thu), Hormuz naval developments, Iran ground operation speculation. Peak war panic window: 1-3 weeks.</w:t>
      </w:r>
    </w:p>
    <w:p>
      <w:pPr>
        <w:spacing w:after="200"/>
      </w:pPr>
    </w:p>
    <w:p>
      <w:pPr>
        <w:pBdr>
          <w:top w:val="single" w:color="1B3A5C" w:sz="4" w:space="8"/>
        </w:pBdr>
        <w:spacing w:before="200"/>
      </w:pPr>
      <w:r>
        <w:rPr>
          <w:rFonts w:ascii="Arial" w:cs="Arial" w:eastAsia="Arial" w:hAnsi="Arial"/>
          <w:i/>
          <w:iCs/>
          <w:color w:val="555555"/>
          <w:sz w:val="16"/>
          <w:szCs w:val="16"/>
        </w:rPr>
        <w:t xml:space="preserve">This document is prepared for internal use only. Views expressed are those of the trading desk and do not constitute investment advice. </w:t>
      </w:r>
      <w:r>
        <w:rPr>
          <w:rFonts w:ascii="Arial" w:cs="Arial" w:eastAsia="Arial" w:hAnsi="Arial"/>
          <w:i/>
          <w:iCs/>
          <w:color w:val="555555"/>
          <w:sz w:val="16"/>
          <w:szCs w:val="16"/>
        </w:rPr>
        <w:t xml:space="preserve">Past performance is not indicative of future results.</w:t>
      </w:r>
    </w:p>
    <w:sectPr>
      <w:pgSz w:w="12240" w:h="15840" w:orient="portrait"/>
      <w:pgMar w:top="1200" w:right="1200" w:bottom="12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B3A5C"/>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1B3A5C"/>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2C5F8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2026-03-15T15:11:16.044Z</dcterms:created>
  <dcterms:modified xsi:type="dcterms:W3CDTF">2026-03-15T15:11:16.045Z</dcterms:modified>
</cp:coreProperties>
</file>

<file path=docProps/custom.xml><?xml version="1.0" encoding="utf-8"?>
<Properties xmlns="http://schemas.openxmlformats.org/officeDocument/2006/custom-properties" xmlns:vt="http://schemas.openxmlformats.org/officeDocument/2006/docPropsVTypes"/>
</file>