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pPr>
      <w:r>
        <w:rPr>
          <w:rFonts w:ascii="Arial" w:cs="Arial" w:eastAsia="Arial" w:hAnsi="Arial"/>
          <w:caps/>
          <w:color w:val="555555"/>
          <w:spacing w:val="200"/>
          <w:sz w:val="14"/>
          <w:szCs w:val="14"/>
        </w:rPr>
        <w:t xml:space="preserve">GLOBAL MARKETS AMERICAS  |  ADDENDUM</w:t>
      </w:r>
    </w:p>
    <w:p>
      <w:pPr>
        <w:spacing w:after="80"/>
      </w:pPr>
      <w:r>
        <w:rPr>
          <w:rFonts w:ascii="Arial" w:cs="Arial" w:eastAsia="Arial" w:hAnsi="Arial"/>
          <w:b/>
          <w:bCs/>
          <w:color w:val="1B3A5C"/>
          <w:sz w:val="32"/>
          <w:szCs w:val="32"/>
        </w:rPr>
        <w:t xml:space="preserve">SECTION 8: PORTFOLIO CONSTRUCTION, RISK MANAGEMENT &amp; HEDGING FRAMEWORK</w:t>
      </w:r>
    </w:p>
    <w:p>
      <w:pPr>
        <w:spacing w:after="40"/>
      </w:pPr>
      <w:r>
        <w:rPr>
          <w:rFonts w:ascii="Arial" w:cs="Arial" w:eastAsia="Arial" w:hAnsi="Arial"/>
          <w:color w:val="555555"/>
          <w:sz w:val="20"/>
          <w:szCs w:val="20"/>
        </w:rPr>
        <w:t xml:space="preserve">15 March 2026  |  </w:t>
      </w:r>
      <w:r>
        <w:rPr>
          <w:rFonts w:ascii="Arial" w:cs="Arial" w:eastAsia="Arial" w:hAnsi="Arial"/>
          <w:b/>
          <w:bCs/>
          <w:color w:val="C0392B"/>
          <w:sz w:val="18"/>
          <w:szCs w:val="18"/>
        </w:rPr>
        <w:t xml:space="preserve">CONFIDENTIAL — FOR INTERNAL DISTRIBUTION ONLY</w:t>
      </w:r>
    </w:p>
    <w:p>
      <w:pPr>
        <w:pBdr>
          <w:bottom w:val="single" w:color="1B3A5C" w:sz="8" w:space="8"/>
        </w:pBdr>
        <w:spacing w:after="200"/>
      </w:pPr>
      <w:r>
        <w:rPr>
          <w:rFonts w:ascii="Arial" w:cs="Arial" w:eastAsia="Arial" w:hAnsi="Arial"/>
          <w:i/>
          <w:iCs/>
          <w:color w:val="555555"/>
          <w:sz w:val="20"/>
          <w:szCs w:val="20"/>
        </w:rPr>
        <w:t xml:space="preserve">Cross-Asset PM Perspective: What Keeps Us Up at Night &amp; How to Position</w:t>
      </w:r>
    </w:p>
    <w:p>
      <w:pPr>
        <w:pStyle w:val="Heading1"/>
      </w:pPr>
      <w:r>
        <w:t xml:space="preserve">THE CORE DILEMMA</w:t>
      </w:r>
    </w:p>
    <w:p>
      <w:pPr>
        <w:spacing w:after="160" w:before="0" w:line="276"/>
        <w:jc w:val="left"/>
      </w:pPr>
      <w:r>
        <w:rPr>
          <w:rFonts w:ascii="Arial" w:cs="Arial" w:eastAsia="Arial" w:hAnsi="Arial"/>
          <w:color w:val="333333"/>
          <w:sz w:val="20"/>
          <w:szCs w:val="20"/>
        </w:rPr>
        <w:t xml:space="preserve">This is the hardest market in years for a cross-asset PM. Three shocks are hitting simultaneously — Iran war (supply shock), AI disruption (structural rotation), and private credit stress (liquidity shock) — and they interact in ways that break traditional correlation assumptions. Bloomberg’s headline captures it: multiple forces are converging in ways that defy easy fixes, and the old playbook of buying the dip is far from guaranteed to work.</w:t>
      </w:r>
    </w:p>
    <w:p>
      <w:pPr>
        <w:spacing w:after="160" w:before="0" w:line="276"/>
        <w:jc w:val="left"/>
      </w:pPr>
      <w:r>
        <w:rPr>
          <w:rFonts w:ascii="Arial" w:cs="Arial" w:eastAsia="Arial" w:hAnsi="Arial"/>
          <w:color w:val="333333"/>
          <w:sz w:val="20"/>
          <w:szCs w:val="20"/>
        </w:rPr>
        <w:t xml:space="preserve">The dilemma in plain English: we CANNOT afford to miss a war-resolution rally that could rip 8-12% in weeks (Goldman sees “extreme rally” potential from record short covering). But we ALSO cannot afford a -20% drawdown if Hormuz stays closed for months, oil hits $150, and the private credit cockroaches multiply. The asymmetry of outcomes has rarely been this wide.</w:t>
      </w:r>
    </w:p>
    <w:p>
      <w:pPr>
        <w:pBdr>
          <w:bottom w:val="single" w:color="1B3A5C" w:sz="6" w:space="4"/>
        </w:pBdr>
        <w:spacing w:after="200" w:before="200"/>
      </w:pPr>
    </w:p>
    <w:p>
      <w:pPr>
        <w:pStyle w:val="Heading1"/>
      </w:pPr>
      <w:r>
        <w:t xml:space="preserve">WHAT WORRIES PORTFOLIO MANAGERS MOST: RANKED</w:t>
      </w:r>
    </w:p>
    <w:p>
      <w:pPr>
        <w:pStyle w:val="Heading2"/>
      </w:pPr>
      <w:r>
        <w:t xml:space="preserve">#1: Stagflation Trap (Highest Conviction Risk)</w:t>
      </w:r>
    </w:p>
    <w:p>
      <w:pPr>
        <w:spacing w:after="160" w:before="0" w:line="276"/>
        <w:jc w:val="left"/>
      </w:pPr>
      <w:r>
        <w:rPr>
          <w:rFonts w:ascii="Arial" w:cs="Arial" w:eastAsia="Arial" w:hAnsi="Arial"/>
          <w:color w:val="333333"/>
          <w:sz w:val="20"/>
          <w:szCs w:val="20"/>
        </w:rPr>
        <w:t xml:space="preserve">This is the scenario nobody has a playbook for. Feb NFP: -92K jobs. Unemployment: 4.4%. CPI: 2.4% pre-war but heading toward 3%+ per Goldman. Oil above $100 and gas at $3.59 (up 22% in a month). The Fed is FROZEN — can’t cut (inflation) and can’t hike (jobs). Futures pricing NO cut before July at 67% probability. The 5Y breakeven rate just hit a 1-year high. Charles Schwab: all three components of Treasury yields (fed funds expectations, inflation expectations, and term premium) moved HIGHER simultaneously in early March. When bonds and equities sell off together, the 60/40 portfolio offers ZERO shelter. This is the #1 risk because it’s the one that breaks the most portfolios and has no clean hedge.</w:t>
      </w:r>
    </w:p>
    <w:p>
      <w:pPr>
        <w:spacing w:after="80"/>
      </w:pPr>
      <w:r>
        <w:rPr>
          <w:rFonts w:ascii="Arial" w:cs="Arial" w:eastAsia="Arial" w:hAnsi="Arial"/>
          <w:color w:val="555555"/>
          <w:sz w:val="20"/>
          <w:szCs w:val="20"/>
        </w:rPr>
        <w:t xml:space="preserve">Fidelity recession threshold: </w:t>
      </w:r>
      <w:r>
        <w:rPr>
          <w:rFonts w:ascii="Arial" w:cs="Arial" w:eastAsia="Arial" w:hAnsi="Arial"/>
          <w:b/>
          <w:bCs/>
          <w:color w:val="C0392B"/>
          <w:sz w:val="20"/>
          <w:szCs w:val="20"/>
        </w:rPr>
        <w:t xml:space="preserve">Oil at $135-145/bbl sustained for weeks</w:t>
      </w:r>
    </w:p>
    <w:p>
      <w:pPr>
        <w:spacing w:after="80"/>
      </w:pPr>
      <w:r>
        <w:rPr>
          <w:rFonts w:ascii="Arial" w:cs="Arial" w:eastAsia="Arial" w:hAnsi="Arial"/>
          <w:color w:val="555555"/>
          <w:sz w:val="20"/>
          <w:szCs w:val="20"/>
        </w:rPr>
        <w:t xml:space="preserve">Goldman CPI forecast: </w:t>
      </w:r>
      <w:r>
        <w:rPr>
          <w:rFonts w:ascii="Arial" w:cs="Arial" w:eastAsia="Arial" w:hAnsi="Arial"/>
          <w:b/>
          <w:bCs/>
          <w:color w:val="C0392B"/>
          <w:sz w:val="20"/>
          <w:szCs w:val="20"/>
        </w:rPr>
        <w:t xml:space="preserve">3%+ by year-end if war persists</w:t>
      </w:r>
    </w:p>
    <w:p>
      <w:pPr>
        <w:spacing w:after="80"/>
      </w:pPr>
      <w:r>
        <w:rPr>
          <w:rFonts w:ascii="Arial" w:cs="Arial" w:eastAsia="Arial" w:hAnsi="Arial"/>
          <w:color w:val="555555"/>
          <w:sz w:val="20"/>
          <w:szCs w:val="20"/>
        </w:rPr>
        <w:t xml:space="preserve">10Y UST: </w:t>
      </w:r>
      <w:r>
        <w:rPr>
          <w:rFonts w:ascii="Arial" w:cs="Arial" w:eastAsia="Arial" w:hAnsi="Arial"/>
          <w:b/>
          <w:bCs/>
          <w:color w:val="C0392B"/>
          <w:sz w:val="20"/>
          <w:szCs w:val="20"/>
        </w:rPr>
        <w:t xml:space="preserve">4.17% and rising (NOT acting as haven)</w:t>
      </w:r>
    </w:p>
    <w:p>
      <w:pPr>
        <w:pStyle w:val="Heading2"/>
      </w:pPr>
      <w:r>
        <w:t xml:space="preserve">#2: Hormuz Stays Closed / Dual-Strait Closure</w:t>
      </w:r>
    </w:p>
    <w:p>
      <w:pPr>
        <w:spacing w:after="160" w:before="0" w:line="276"/>
        <w:jc w:val="left"/>
      </w:pPr>
      <w:r>
        <w:rPr>
          <w:rFonts w:ascii="Arial" w:cs="Arial" w:eastAsia="Arial" w:hAnsi="Arial"/>
          <w:color w:val="333333"/>
          <w:sz w:val="20"/>
          <w:szCs w:val="20"/>
        </w:rPr>
        <w:t xml:space="preserve">Alpine Macro’s Alamariu warns that Yemen’s Houthis may attempt to close Bab el-Mandeb simultaneously. That’s the Red Sea chokepoint — an additional 5M bbl/day plus the main Europe-Asia trade route. A simultaneous two-strait disruption has NEVER happened and is not priced. Wood Mackenzie says $150/bbl is needed for demand destruction to rebalance. Their chairman: $200/bbl is possible. IEA’s SPR release (400M barrels) covers just 15% of lost daily flow. The math doesn’t work. This is the fat tail that turns a manageable shock into a global recession.</w:t>
      </w:r>
    </w:p>
    <w:p>
      <w:pPr>
        <w:pStyle w:val="Heading2"/>
      </w:pPr>
      <w:r>
        <w:t xml:space="preserve">#3: Private Credit Contagion Goes Systemic</w:t>
      </w:r>
    </w:p>
    <w:p>
      <w:pPr>
        <w:spacing w:after="160" w:before="0" w:line="276"/>
        <w:jc w:val="left"/>
      </w:pPr>
      <w:r>
        <w:rPr>
          <w:rFonts w:ascii="Arial" w:cs="Arial" w:eastAsia="Arial" w:hAnsi="Arial"/>
          <w:color w:val="333333"/>
          <w:sz w:val="20"/>
          <w:szCs w:val="20"/>
        </w:rPr>
        <w:t xml:space="preserve">The $265B meltdown (Fortune) is still in early innings. Software = 40% of sponsor-backed PC loans and the collateral base is cratering. JPMorgan marking down loans, restricting lending to PC funds. DOJ warning about creative marks. If Q2 BDC earnings show 10%+ writedowns on software portfolios, the narrative shifts from “idiosyncratic” to “systemic” overnight. The transmission vector to banks is through warehouse lending lines and subscription credit facilities. The transmission to insurance is through private credit allocations in general accounts. Not our base case, but the tail risk is real.</w:t>
      </w:r>
    </w:p>
    <w:p>
      <w:pPr>
        <w:pStyle w:val="Heading2"/>
      </w:pPr>
      <w:r>
        <w:t xml:space="preserve">#4: Correlation Breakdown — No Place to Hide</w:t>
      </w:r>
    </w:p>
    <w:p>
      <w:pPr>
        <w:spacing w:after="160" w:before="0" w:line="276"/>
        <w:jc w:val="left"/>
      </w:pPr>
      <w:r>
        <w:rPr>
          <w:rFonts w:ascii="Arial" w:cs="Arial" w:eastAsia="Arial" w:hAnsi="Arial"/>
          <w:color w:val="333333"/>
          <w:sz w:val="20"/>
          <w:szCs w:val="20"/>
        </w:rPr>
        <w:t xml:space="preserve">The traditional hedges are NOT working the way they should. Treasuries are SELLING OFF alongside equities (inflation &gt; haven). Gold is flat-to-down (strong DXY, rising real rates overwhelming haven bid). JPY is weakening (energy import burden). Credit is WIDENING. The only haven that’s working cleanly is the USD and cash. When your hedges are correlated with your risk assets, you’re running naked. Goldman AM: fixed income returns were negative in 16 of 18 months when equities declined by 2%+ — the 60/40 model is structurally impaired.</w:t>
      </w:r>
    </w:p>
    <w:p>
      <w:pPr>
        <w:pStyle w:val="Heading2"/>
      </w:pPr>
      <w:r>
        <w:t xml:space="preserve">#5: Missing the Rip — The Mirror-Image Risk</w:t>
      </w:r>
    </w:p>
    <w:p>
      <w:pPr>
        <w:spacing w:after="160" w:before="0" w:line="276"/>
        <w:jc w:val="left"/>
      </w:pPr>
      <w:r>
        <w:rPr>
          <w:rFonts w:ascii="Arial" w:cs="Arial" w:eastAsia="Arial" w:hAnsi="Arial"/>
          <w:color w:val="333333"/>
          <w:sz w:val="20"/>
          <w:szCs w:val="20"/>
        </w:rPr>
        <w:t xml:space="preserve">Citi’s Stuart Kaiser: if Iran risk settles, “a lot of risk premium would get compressed out of the market and the investors corralled on the sidelines would start to engage to the upside.” Goldman PB: HF index/ETF shorts at highest since Sept 2022 — that’s rocket fuel. BNP leverage indicator at November lows. Put-call skew at 2-year highs. AAII Fear &amp; Greed Index in mid-20s (Extreme Fear). Historically, when sentiment is this negative and the economy isn’t in recession, the subsequent 12-month returns average +15-20%. Markets historically post double-digit gains during wartime per Morgan Stanley. Fidelity: credit spreads widened from lows but still far from distress — the bond market is NOT confirming equity panic. This is exactly the wall of worry that markets climb.</w:t>
      </w:r>
    </w:p>
    <w:p>
      <w:pPr>
        <w:pBdr>
          <w:bottom w:val="single" w:color="1B3A5C" w:sz="6" w:space="4"/>
        </w:pBdr>
        <w:spacing w:after="200" w:before="200"/>
      </w:pPr>
    </w:p>
    <w:p>
      <w:pPr>
        <w:pStyle w:val="Heading1"/>
      </w:pPr>
      <w:r>
        <w:t xml:space="preserve">SCENARIO PROBABILITY MATRIX</w:t>
      </w:r>
    </w:p>
    <w:p>
      <w:pPr>
        <w:spacing w:after="160" w:before="0" w:line="276"/>
        <w:jc w:val="left"/>
      </w:pPr>
      <w:r>
        <w:rPr>
          <w:rFonts w:ascii="Arial" w:cs="Arial" w:eastAsia="Arial" w:hAnsi="Arial"/>
          <w:color w:val="333333"/>
          <w:sz w:val="20"/>
          <w:szCs w:val="20"/>
        </w:rPr>
        <w:t xml:space="preserve">We assign subjective probabilities to four scenarios and map asset allocation accordingly:</w:t>
      </w:r>
    </w:p>
    <w:p>
      <w:pPr>
        <w:spacing w:after="8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2200"/>
        <w:gridCol w:w="1600"/>
        <w:gridCol w:w="1600"/>
        <w:gridCol w:w="1600"/>
        <w:gridCol w:w="2840"/>
      </w:tblGrid>
      <w:tr>
        <w:tc>
          <w:tcPr>
            <w:tcW w:type="dxa" w:w="220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SCENARIO</w:t>
            </w:r>
          </w:p>
        </w:tc>
        <w:tc>
          <w:tcPr>
            <w:tcW w:type="dxa" w:w="160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PROBABILITY</w:t>
            </w:r>
          </w:p>
        </w:tc>
        <w:tc>
          <w:tcPr>
            <w:tcW w:type="dxa" w:w="160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BRENT OIL</w:t>
            </w:r>
          </w:p>
        </w:tc>
        <w:tc>
          <w:tcPr>
            <w:tcW w:type="dxa" w:w="160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S&amp;P 500</w:t>
            </w:r>
          </w:p>
        </w:tc>
        <w:tc>
          <w:tcPr>
            <w:tcW w:type="dxa" w:w="284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KEY TRADES</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Swift Resolution (4-6 wks)</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30%</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$70-75</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7,200+</w:t>
            </w:r>
          </w:p>
        </w:tc>
        <w:tc>
          <w:tcPr>
            <w:tcW w:type="dxa" w:w="284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val="false"/>
                <w:bCs w:val="false"/>
                <w:color w:val="333333"/>
                <w:sz w:val="18"/>
                <w:szCs w:val="18"/>
              </w:rPr>
              <w:t xml:space="preserve">Buy SPX dips, sell oil, cover SaaS shorts, long EM FX</w:t>
            </w:r>
          </w:p>
        </w:tc>
      </w:tr>
      <w:tr>
        <w:tc>
          <w:tcPr>
            <w:tcW w:type="dxa" w:w="22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Protracted War (3-4 mo)</w:t>
            </w:r>
          </w:p>
        </w:tc>
        <w:tc>
          <w:tcPr>
            <w:tcW w:type="dxa" w:w="16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45%</w:t>
            </w:r>
          </w:p>
        </w:tc>
        <w:tc>
          <w:tcPr>
            <w:tcW w:type="dxa" w:w="16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E67E22"/>
                <w:sz w:val="18"/>
                <w:szCs w:val="18"/>
              </w:rPr>
              <w:t xml:space="preserve">$110-135</w:t>
            </w:r>
          </w:p>
        </w:tc>
        <w:tc>
          <w:tcPr>
            <w:tcW w:type="dxa" w:w="16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E67E22"/>
                <w:sz w:val="18"/>
                <w:szCs w:val="18"/>
              </w:rPr>
              <w:t xml:space="preserve">5,800-6,200</w:t>
            </w:r>
          </w:p>
        </w:tc>
        <w:tc>
          <w:tcPr>
            <w:tcW w:type="dxa" w:w="284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val="false"/>
                <w:bCs w:val="false"/>
                <w:color w:val="333333"/>
                <w:sz w:val="18"/>
                <w:szCs w:val="18"/>
              </w:rPr>
              <w:t xml:space="preserve">Long energy/defence, short EUR, long USD, belly of UST curve</w:t>
            </w:r>
          </w:p>
        </w:tc>
      </w:tr>
      <w:tr>
        <w:tc>
          <w:tcPr>
            <w:tcW w:type="dxa" w:w="22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Full Escalation / Dual-Strait</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15%</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C0392B"/>
                <w:sz w:val="18"/>
                <w:szCs w:val="18"/>
              </w:rPr>
              <w:t xml:space="preserve">$150-200</w:t>
            </w:r>
          </w:p>
        </w:tc>
        <w:tc>
          <w:tcPr>
            <w:tcW w:type="dxa" w:w="1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C0392B"/>
                <w:sz w:val="18"/>
                <w:szCs w:val="18"/>
              </w:rPr>
              <w:t xml:space="preserve">5,200-5,500</w:t>
            </w:r>
          </w:p>
        </w:tc>
        <w:tc>
          <w:tcPr>
            <w:tcW w:type="dxa" w:w="284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val="false"/>
                <w:bCs w:val="false"/>
                <w:color w:val="333333"/>
                <w:sz w:val="18"/>
                <w:szCs w:val="18"/>
              </w:rPr>
              <w:t xml:space="preserve">Max long gold/oil, short equities, long VIX, long CHF/USD</w:t>
            </w:r>
          </w:p>
        </w:tc>
      </w:tr>
      <w:tr>
        <w:tc>
          <w:tcPr>
            <w:tcW w:type="dxa" w:w="22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Credit Contagion Spiral</w:t>
            </w:r>
          </w:p>
        </w:tc>
        <w:tc>
          <w:tcPr>
            <w:tcW w:type="dxa" w:w="16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10%</w:t>
            </w:r>
          </w:p>
        </w:tc>
        <w:tc>
          <w:tcPr>
            <w:tcW w:type="dxa" w:w="16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N/A</w:t>
            </w:r>
          </w:p>
        </w:tc>
        <w:tc>
          <w:tcPr>
            <w:tcW w:type="dxa" w:w="16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C0392B"/>
                <w:sz w:val="18"/>
                <w:szCs w:val="18"/>
              </w:rPr>
              <w:t xml:space="preserve">5,000-5,500</w:t>
            </w:r>
          </w:p>
        </w:tc>
        <w:tc>
          <w:tcPr>
            <w:tcW w:type="dxa" w:w="284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val="false"/>
                <w:bCs w:val="false"/>
                <w:color w:val="333333"/>
                <w:sz w:val="18"/>
                <w:szCs w:val="18"/>
              </w:rPr>
              <w:t xml:space="preserve">Max defensive, long IG vs HY, long UST, short financials</w:t>
            </w:r>
          </w:p>
        </w:tc>
      </w:tr>
    </w:tbl>
    <w:p>
      <w:pPr>
        <w:spacing w:after="80"/>
      </w:pPr>
    </w:p>
    <w:p>
      <w:pPr>
        <w:pBdr>
          <w:top w:val="single" w:color="E6A817" w:sz="1"/>
          <w:bottom w:val="single" w:color="E6A817" w:sz="1"/>
        </w:pBdr>
        <w:shd w:fill="FFF3CD" w:val="clear"/>
        <w:spacing w:after="120" w:before="120"/>
        <w:ind w:left="360"/>
      </w:pPr>
      <w:r>
        <w:rPr>
          <w:rFonts w:ascii="Arial" w:cs="Arial" w:eastAsia="Arial" w:hAnsi="Arial"/>
          <w:b/>
          <w:bCs/>
          <w:i/>
          <w:iCs/>
          <w:color w:val="856404"/>
          <w:sz w:val="20"/>
          <w:szCs w:val="20"/>
        </w:rPr>
        <w:t xml:space="preserve">BASE CASE (45%): Protracted but contained war, Hormuz partially reopens within 2-3 months, oil settles $90-110, inflation bumps to 3%, Fed on hold all year, SPX grinds in 6,000-6,800 range. Private credit stress remains contained to software/PE-backed cohort.</w:t>
      </w:r>
    </w:p>
    <w:p>
      <w:pPr>
        <w:pBdr>
          <w:bottom w:val="single" w:color="1B3A5C" w:sz="6" w:space="4"/>
        </w:pBdr>
        <w:spacing w:after="200" w:before="200"/>
      </w:pPr>
    </w:p>
    <w:p>
      <w:pPr>
        <w:pStyle w:val="Heading1"/>
      </w:pPr>
      <w:r>
        <w:t xml:space="preserve">HEDGING COST ANALYSIS: IS PROTECTION WORTH IT?</w:t>
      </w:r>
    </w:p>
    <w:p>
      <w:pPr>
        <w:pStyle w:val="Heading2"/>
      </w:pPr>
      <w:r>
        <w:t xml:space="preserve">Current Vol Surface — The Price of Fear</w:t>
      </w:r>
    </w:p>
    <w:p>
      <w:pPr>
        <w:spacing w:after="160" w:before="0" w:line="276"/>
        <w:jc w:val="left"/>
      </w:pPr>
      <w:r>
        <w:rPr>
          <w:rFonts w:ascii="Arial" w:cs="Arial" w:eastAsia="Arial" w:hAnsi="Arial"/>
          <w:color w:val="333333"/>
          <w:sz w:val="20"/>
          <w:szCs w:val="20"/>
        </w:rPr>
        <w:t xml:space="preserve">VIX closed at 27.29 on Friday. That’s a stressed regime (rule of 16: the market expects ~1.7% daily moves) but NOT panic territory (30+ is panic, 40+ is capitulation). SPX put-call ratio at 1.1+ — heavy hedging demand. Skew in the low 150s — tail protection is EXPENSIVE. The 2-month normalised skew is near the top of its 5-year range. In plain terms: everyone wants downside protection and is paying through the nose for it. The question is whether you’re paying retail prices for insurance or finding structural edge.</w:t>
      </w:r>
    </w:p>
    <w:p>
      <w:pPr>
        <w:spacing w:after="80"/>
      </w:pPr>
      <w:r>
        <w:rPr>
          <w:rFonts w:ascii="Arial" w:cs="Arial" w:eastAsia="Arial" w:hAnsi="Arial"/>
          <w:color w:val="555555"/>
          <w:sz w:val="20"/>
          <w:szCs w:val="20"/>
        </w:rPr>
        <w:t xml:space="preserve">VIX: </w:t>
      </w:r>
      <w:r>
        <w:rPr>
          <w:rFonts w:ascii="Arial" w:cs="Arial" w:eastAsia="Arial" w:hAnsi="Arial"/>
          <w:b/>
          <w:bCs/>
          <w:color w:val="C0392B"/>
          <w:sz w:val="20"/>
          <w:szCs w:val="20"/>
        </w:rPr>
        <w:t xml:space="preserve">27.29 (stressed, not panic)</w:t>
      </w:r>
    </w:p>
    <w:p>
      <w:pPr>
        <w:spacing w:after="80"/>
      </w:pPr>
      <w:r>
        <w:rPr>
          <w:rFonts w:ascii="Arial" w:cs="Arial" w:eastAsia="Arial" w:hAnsi="Arial"/>
          <w:color w:val="555555"/>
          <w:sz w:val="20"/>
          <w:szCs w:val="20"/>
        </w:rPr>
        <w:t xml:space="preserve">SPX Put-Call Ratio: </w:t>
      </w:r>
      <w:r>
        <w:rPr>
          <w:rFonts w:ascii="Arial" w:cs="Arial" w:eastAsia="Arial" w:hAnsi="Arial"/>
          <w:b/>
          <w:bCs/>
          <w:color w:val="C0392B"/>
          <w:sz w:val="20"/>
          <w:szCs w:val="20"/>
        </w:rPr>
        <w:t xml:space="preserve">1.1+ (elevated hedging)</w:t>
      </w:r>
    </w:p>
    <w:p>
      <w:pPr>
        <w:spacing w:after="80"/>
      </w:pPr>
      <w:r>
        <w:rPr>
          <w:rFonts w:ascii="Arial" w:cs="Arial" w:eastAsia="Arial" w:hAnsi="Arial"/>
          <w:color w:val="555555"/>
          <w:sz w:val="20"/>
          <w:szCs w:val="20"/>
        </w:rPr>
        <w:t xml:space="preserve">Skew: </w:t>
      </w:r>
      <w:r>
        <w:rPr>
          <w:rFonts w:ascii="Arial" w:cs="Arial" w:eastAsia="Arial" w:hAnsi="Arial"/>
          <w:b/>
          <w:bCs/>
          <w:color w:val="C0392B"/>
          <w:sz w:val="20"/>
          <w:szCs w:val="20"/>
        </w:rPr>
        <w:t xml:space="preserve">Low 150s (tail protection expensive)</w:t>
      </w:r>
    </w:p>
    <w:p>
      <w:pPr>
        <w:spacing w:after="80"/>
      </w:pPr>
      <w:r>
        <w:rPr>
          <w:rFonts w:ascii="Arial" w:cs="Arial" w:eastAsia="Arial" w:hAnsi="Arial"/>
          <w:color w:val="555555"/>
          <w:sz w:val="20"/>
          <w:szCs w:val="20"/>
        </w:rPr>
        <w:t xml:space="preserve">Fear &amp; Greed Index: </w:t>
      </w:r>
      <w:r>
        <w:rPr>
          <w:rFonts w:ascii="Arial" w:cs="Arial" w:eastAsia="Arial" w:hAnsi="Arial"/>
          <w:b/>
          <w:bCs/>
          <w:color w:val="C0392B"/>
          <w:sz w:val="20"/>
          <w:szCs w:val="20"/>
        </w:rPr>
        <w:t xml:space="preserve">Mid-20s (Extreme Fear)</w:t>
      </w:r>
    </w:p>
    <w:p>
      <w:pPr>
        <w:spacing w:after="80"/>
      </w:pPr>
      <w:r>
        <w:rPr>
          <w:rFonts w:ascii="Arial" w:cs="Arial" w:eastAsia="Arial" w:hAnsi="Arial"/>
          <w:color w:val="555555"/>
          <w:sz w:val="20"/>
          <w:szCs w:val="20"/>
        </w:rPr>
        <w:t xml:space="preserve">HY Spreads: </w:t>
      </w:r>
      <w:r>
        <w:rPr>
          <w:rFonts w:ascii="Arial" w:cs="Arial" w:eastAsia="Arial" w:hAnsi="Arial"/>
          <w:b/>
          <w:bCs/>
          <w:color w:val="C0392B"/>
          <w:sz w:val="20"/>
          <w:szCs w:val="20"/>
        </w:rPr>
        <w:t xml:space="preserve">Widened ~40bps from YTD lows, NOT distressed</w:t>
      </w:r>
    </w:p>
    <w:p>
      <w:pPr>
        <w:spacing w:after="80"/>
      </w:pPr>
      <w:r>
        <w:rPr>
          <w:rFonts w:ascii="Arial" w:cs="Arial" w:eastAsia="Arial" w:hAnsi="Arial"/>
          <w:color w:val="555555"/>
          <w:sz w:val="20"/>
          <w:szCs w:val="20"/>
        </w:rPr>
        <w:t xml:space="preserve">SPX Negative Gamma Zone: </w:t>
      </w:r>
      <w:r>
        <w:rPr>
          <w:rFonts w:ascii="Arial" w:cs="Arial" w:eastAsia="Arial" w:hAnsi="Arial"/>
          <w:b/>
          <w:bCs/>
          <w:color w:val="C0392B"/>
          <w:sz w:val="20"/>
          <w:szCs w:val="20"/>
        </w:rPr>
        <w:t xml:space="preserve">Confirmed below dealer flip — moves exaggerated</w:t>
      </w:r>
    </w:p>
    <w:p>
      <w:pPr>
        <w:pStyle w:val="Heading2"/>
      </w:pPr>
      <w:r>
        <w:t xml:space="preserve">Hedging Menu: Costs vs. Payoffs</w:t>
      </w:r>
    </w:p>
    <w:p>
      <w:pPr>
        <w:spacing w:after="160" w:before="0" w:line="276"/>
        <w:jc w:val="left"/>
      </w:pPr>
      <w:r>
        <w:rPr>
          <w:rFonts w:ascii="Arial" w:cs="Arial" w:eastAsia="Arial" w:hAnsi="Arial"/>
          <w:color w:val="333333"/>
          <w:sz w:val="20"/>
          <w:szCs w:val="20"/>
        </w:rPr>
        <w:t xml:space="preserve">Below we compare the annual cost of each hedge as a percentage of total portfolio value, the expected payoff in a -20% equity drawdown, and the cost-benefit ratio (payoff/cost):</w:t>
      </w:r>
    </w:p>
    <w:p>
      <w:pPr>
        <w:spacing w:after="80"/>
      </w:pPr>
    </w:p>
    <w:tbl>
      <w:tblPr>
        <w:tblW w:type="dxa" w:w="984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1800"/>
        <w:gridCol w:w="1800"/>
        <w:gridCol w:w="1840"/>
      </w:tblGrid>
      <w:tr>
        <w:tc>
          <w:tcPr>
            <w:tcW w:type="dxa" w:w="260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HEDGE INSTRUMENT</w:t>
            </w:r>
          </w:p>
        </w:tc>
        <w:tc>
          <w:tcPr>
            <w:tcW w:type="dxa" w:w="180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ANNUAL COST</w:t>
            </w:r>
          </w:p>
        </w:tc>
        <w:tc>
          <w:tcPr>
            <w:tcW w:type="dxa" w:w="180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PAYOFF IN -20%</w:t>
            </w:r>
          </w:p>
        </w:tc>
        <w:tc>
          <w:tcPr>
            <w:tcW w:type="dxa" w:w="180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COST-BENEFIT</w:t>
            </w:r>
          </w:p>
        </w:tc>
        <w:tc>
          <w:tcPr>
            <w:tcW w:type="dxa" w:w="184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center"/>
            </w:pPr>
            <w:r>
              <w:rPr>
                <w:rFonts w:ascii="Arial" w:cs="Arial" w:eastAsia="Arial" w:hAnsi="Arial"/>
                <w:b/>
                <w:bCs/>
                <w:color w:val="FFFFFF"/>
                <w:sz w:val="18"/>
                <w:szCs w:val="18"/>
              </w:rPr>
              <w:t xml:space="preserve">VERDICT</w:t>
            </w:r>
          </w:p>
        </w:tc>
      </w:tr>
      <w:tr>
        <w:tc>
          <w:tcPr>
            <w:tcW w:type="dxa" w:w="2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SPX 3M 5% OTM Put Spread</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~1.8-2.2% p.a.</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+8-12%</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4-6x</w:t>
            </w:r>
          </w:p>
        </w:tc>
        <w:tc>
          <w:tcPr>
            <w:tcW w:type="dxa" w:w="184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27AE60"/>
                <w:sz w:val="18"/>
                <w:szCs w:val="18"/>
              </w:rPr>
              <w:t xml:space="preserve">PREFERRED: Best risk/reward</w:t>
            </w:r>
          </w:p>
        </w:tc>
      </w:tr>
      <w:tr>
        <w:tc>
          <w:tcPr>
            <w:tcW w:type="dxa" w:w="26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VIX Call Spread (25/40)</w:t>
            </w:r>
          </w:p>
        </w:tc>
        <w:tc>
          <w:tcPr>
            <w:tcW w:type="dxa" w:w="18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~0.8-1.2% p.a.</w:t>
            </w:r>
          </w:p>
        </w:tc>
        <w:tc>
          <w:tcPr>
            <w:tcW w:type="dxa" w:w="18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+3-8%</w:t>
            </w:r>
          </w:p>
        </w:tc>
        <w:tc>
          <w:tcPr>
            <w:tcW w:type="dxa" w:w="18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3-7x</w:t>
            </w:r>
          </w:p>
        </w:tc>
        <w:tc>
          <w:tcPr>
            <w:tcW w:type="dxa" w:w="184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bCs/>
                <w:color w:val="2E86C1"/>
                <w:sz w:val="18"/>
                <w:szCs w:val="18"/>
              </w:rPr>
              <w:t xml:space="preserve">GOOD: Cheap but imprecise</w:t>
            </w:r>
          </w:p>
        </w:tc>
      </w:tr>
      <w:tr>
        <w:tc>
          <w:tcPr>
            <w:tcW w:type="dxa" w:w="2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Permanent VXX Allocation (5%)</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~2.5-4.0% p.a.</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+10-15%</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3-5x</w:t>
            </w:r>
          </w:p>
        </w:tc>
        <w:tc>
          <w:tcPr>
            <w:tcW w:type="dxa" w:w="184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C0392B"/>
                <w:sz w:val="18"/>
                <w:szCs w:val="18"/>
              </w:rPr>
              <w:t xml:space="preserve">EXPENSIVE: Severe decay drag</w:t>
            </w:r>
          </w:p>
        </w:tc>
      </w:tr>
      <w:tr>
        <w:tc>
          <w:tcPr>
            <w:tcW w:type="dxa" w:w="26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Brent Crude Call Spread ($120/$150)</w:t>
            </w:r>
          </w:p>
        </w:tc>
        <w:tc>
          <w:tcPr>
            <w:tcW w:type="dxa" w:w="18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~0.5-0.8% p.a.</w:t>
            </w:r>
          </w:p>
        </w:tc>
        <w:tc>
          <w:tcPr>
            <w:tcW w:type="dxa" w:w="18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Variable</w:t>
            </w:r>
          </w:p>
        </w:tc>
        <w:tc>
          <w:tcPr>
            <w:tcW w:type="dxa" w:w="18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5-15x</w:t>
            </w:r>
          </w:p>
        </w:tc>
        <w:tc>
          <w:tcPr>
            <w:tcW w:type="dxa" w:w="184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bCs/>
                <w:color w:val="27AE60"/>
                <w:sz w:val="18"/>
                <w:szCs w:val="18"/>
              </w:rPr>
              <w:t xml:space="preserve">ASYMMETRIC: War escalation hedge</w:t>
            </w:r>
          </w:p>
        </w:tc>
      </w:tr>
      <w:tr>
        <w:tc>
          <w:tcPr>
            <w:tcW w:type="dxa" w:w="2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Gold 5% Allocation (physical/ETF)</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~0% (opp. cost)</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+2-5%</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N/A</w:t>
            </w:r>
          </w:p>
        </w:tc>
        <w:tc>
          <w:tcPr>
            <w:tcW w:type="dxa" w:w="184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2E86C1"/>
                <w:sz w:val="18"/>
                <w:szCs w:val="18"/>
              </w:rPr>
              <w:t xml:space="preserve">STRUCTURAL: Multi-regime hedge</w:t>
            </w:r>
          </w:p>
        </w:tc>
      </w:tr>
      <w:tr>
        <w:tc>
          <w:tcPr>
            <w:tcW w:type="dxa" w:w="26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CDS on HY Index (5Y CDX HY)</w:t>
            </w:r>
          </w:p>
        </w:tc>
        <w:tc>
          <w:tcPr>
            <w:tcW w:type="dxa" w:w="18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~3.0-3.5% p.a.</w:t>
            </w:r>
          </w:p>
        </w:tc>
        <w:tc>
          <w:tcPr>
            <w:tcW w:type="dxa" w:w="18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+10-20%</w:t>
            </w:r>
          </w:p>
        </w:tc>
        <w:tc>
          <w:tcPr>
            <w:tcW w:type="dxa" w:w="180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3-6x</w:t>
            </w:r>
          </w:p>
        </w:tc>
        <w:tc>
          <w:tcPr>
            <w:tcW w:type="dxa" w:w="1840"/>
            <w:tcBorders>
              <w:top w:val="single" w:color="CCCCCC" w:sz="1"/>
              <w:left w:val="single" w:color="CCCCCC" w:sz="1"/>
              <w:bottom w:val="single" w:color="CCCCCC" w:sz="1"/>
              <w:right w:val="single" w:color="CCCCCC" w:sz="1"/>
            </w:tcBorders>
            <w:shd w:fill="F0F4F8" w:val="clear"/>
            <w:tcMar>
              <w:top w:type="dxa" w:w="60"/>
              <w:left w:type="dxa" w:w="100"/>
              <w:bottom w:type="dxa" w:w="60"/>
              <w:right w:type="dxa" w:w="100"/>
            </w:tcMar>
            <w:vAlign w:val="center"/>
          </w:tcPr>
          <w:p>
            <w:pPr>
              <w:jc w:val="left"/>
            </w:pPr>
            <w:r>
              <w:rPr>
                <w:rFonts w:ascii="Arial" w:cs="Arial" w:eastAsia="Arial" w:hAnsi="Arial"/>
                <w:b/>
                <w:bCs/>
                <w:color w:val="2E86C1"/>
                <w:sz w:val="18"/>
                <w:szCs w:val="18"/>
              </w:rPr>
              <w:t xml:space="preserve">TARGETED: Credit crunch hedge</w:t>
            </w:r>
          </w:p>
        </w:tc>
      </w:tr>
      <w:tr>
        <w:tc>
          <w:tcPr>
            <w:tcW w:type="dxa" w:w="26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333333"/>
                <w:sz w:val="18"/>
                <w:szCs w:val="18"/>
              </w:rPr>
              <w:t xml:space="preserve">Managed Futures / CTA Allocation</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8"/>
                <w:szCs w:val="18"/>
              </w:rPr>
              <w:t xml:space="preserve">~1.0-1.5% fees</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+5-15%</w:t>
            </w:r>
          </w:p>
        </w:tc>
        <w:tc>
          <w:tcPr>
            <w:tcW w:type="dxa" w:w="180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center"/>
            </w:pPr>
            <w:r>
              <w:rPr>
                <w:rFonts w:ascii="Arial" w:cs="Arial" w:eastAsia="Arial" w:hAnsi="Arial"/>
                <w:b w:val="false"/>
                <w:bCs w:val="false"/>
                <w:color w:val="27AE60"/>
                <w:sz w:val="18"/>
                <w:szCs w:val="18"/>
              </w:rPr>
              <w:t xml:space="preserve">Positive EV</w:t>
            </w:r>
          </w:p>
        </w:tc>
        <w:tc>
          <w:tcPr>
            <w:tcW w:type="dxa" w:w="1840"/>
            <w:tcBorders>
              <w:top w:val="single" w:color="CCCCCC" w:sz="1"/>
              <w:left w:val="single" w:color="CCCCCC" w:sz="1"/>
              <w:bottom w:val="single" w:color="CCCCCC" w:sz="1"/>
              <w:right w:val="single" w:color="CCCCCC" w:sz="1"/>
            </w:tcBorders>
            <w:tcMar>
              <w:top w:type="dxa" w:w="60"/>
              <w:left w:type="dxa" w:w="100"/>
              <w:bottom w:type="dxa" w:w="60"/>
              <w:right w:type="dxa" w:w="100"/>
            </w:tcMar>
            <w:vAlign w:val="center"/>
          </w:tcPr>
          <w:p>
            <w:pPr>
              <w:jc w:val="left"/>
            </w:pPr>
            <w:r>
              <w:rPr>
                <w:rFonts w:ascii="Arial" w:cs="Arial" w:eastAsia="Arial" w:hAnsi="Arial"/>
                <w:b/>
                <w:bCs/>
                <w:color w:val="27AE60"/>
                <w:sz w:val="18"/>
                <w:szCs w:val="18"/>
              </w:rPr>
              <w:t xml:space="preserve">BEST STRUCTURAL: Crisis alpha + carry</w:t>
            </w:r>
          </w:p>
        </w:tc>
      </w:tr>
    </w:tbl>
    <w:p>
      <w:pPr>
        <w:spacing w:after="80"/>
      </w:pPr>
    </w:p>
    <w:p>
      <w:pPr>
        <w:pStyle w:val="Heading2"/>
      </w:pPr>
      <w:r>
        <w:t xml:space="preserve">Key Insight: The Hedging Paradox</w:t>
      </w:r>
    </w:p>
    <w:p>
      <w:pPr>
        <w:spacing w:after="160" w:before="0" w:line="276"/>
        <w:jc w:val="left"/>
      </w:pPr>
      <w:r>
        <w:rPr>
          <w:rFonts w:ascii="Arial" w:cs="Arial" w:eastAsia="Arial" w:hAnsi="Arial"/>
          <w:color w:val="333333"/>
          <w:sz w:val="20"/>
          <w:szCs w:val="20"/>
        </w:rPr>
        <w:t xml:space="preserve">Goldman Sachs Asset Management’s research reveals the counterintuitive truth: tail-risk hedging’s real value is NOT the standalone payoff. It’s that the PRESENCE of a hedge allows you to RUN MORE RISK in core assets. A portfolio with a 2% annual hedge cost but 10% higher equity allocation actually outperforms an unhedged portfolio with lower equity allocation over full cycles. The hedge is not a cost — it’s a license to be aggressive. PIMCO frames this as a “trailing stop” that gives PMs conviction to maintain risk asset allocations during rallies, knowing the downside is bounded.</w:t>
      </w:r>
    </w:p>
    <w:p>
      <w:pPr>
        <w:spacing w:after="160" w:before="0" w:line="276"/>
        <w:jc w:val="left"/>
      </w:pPr>
      <w:r>
        <w:rPr>
          <w:rFonts w:ascii="Arial" w:cs="Arial" w:eastAsia="Arial" w:hAnsi="Arial"/>
          <w:color w:val="333333"/>
          <w:sz w:val="20"/>
          <w:szCs w:val="20"/>
        </w:rPr>
        <w:t xml:space="preserve">At current vol levels (VIX 27), outright puts are expensive. But put SPREADS and VIX call spreads offer 4-7x payoff ratios. The sweet spot is spending 1.5-2.5% of portfolio on a LAYERED hedge: 60% in SPX put spreads (direct equity protection), 20% in Brent call spreads (war escalation optionality), and 20% in VIX call spreads (vol spike insurance). This blend covers both the geopolitical and credit scenarios at a total cost that’s manageable relative to a 10%+ equity return expectation.</w:t>
      </w:r>
    </w:p>
    <w:p>
      <w:pPr>
        <w:pBdr>
          <w:top w:val="single" w:color="E6A817" w:sz="1"/>
          <w:bottom w:val="single" w:color="E6A817" w:sz="1"/>
        </w:pBdr>
        <w:shd w:fill="FFF3CD" w:val="clear"/>
        <w:spacing w:after="120" w:before="120"/>
        <w:ind w:left="360"/>
      </w:pPr>
      <w:r>
        <w:rPr>
          <w:rFonts w:ascii="Arial" w:cs="Arial" w:eastAsia="Arial" w:hAnsi="Arial"/>
          <w:b/>
          <w:bCs/>
          <w:i/>
          <w:iCs/>
          <w:color w:val="856404"/>
          <w:sz w:val="20"/>
          <w:szCs w:val="20"/>
        </w:rPr>
        <w:t xml:space="preserve">AT VIX 27, YOU ARE BUYING INSURANCE AT ELEVATED BUT NOT EXTREME PRICES. The key question: do you believe the risk distribution is wider than what VIX implies? We do. VIX 27 implies ~1.7% daily moves. But Hormuz closure, dual-strait, or PC contagion could generate 5-8% single-day moves. The market is underpricing tail risk relative to the scenario set. Pay up.</w:t>
      </w:r>
    </w:p>
    <w:p>
      <w:pPr>
        <w:pBdr>
          <w:bottom w:val="single" w:color="1B3A5C" w:sz="6" w:space="4"/>
        </w:pBdr>
        <w:spacing w:after="200" w:before="200"/>
      </w:pPr>
    </w:p>
    <w:p>
      <w:pPr>
        <w:pStyle w:val="Heading1"/>
      </w:pPr>
      <w:r>
        <w:t xml:space="preserve">RECOMMENDED PORTFOLIO ARCHITECTURE</w:t>
      </w:r>
    </w:p>
    <w:p>
      <w:pPr>
        <w:pStyle w:val="Heading2"/>
      </w:pPr>
      <w:r>
        <w:t xml:space="preserve">Core Philosophy: Barbell + Crisis Alpha</w:t>
      </w:r>
    </w:p>
    <w:p>
      <w:pPr>
        <w:spacing w:after="160" w:before="0" w:line="276"/>
        <w:jc w:val="left"/>
      </w:pPr>
      <w:r>
        <w:rPr>
          <w:rFonts w:ascii="Arial" w:cs="Arial" w:eastAsia="Arial" w:hAnsi="Arial"/>
          <w:color w:val="333333"/>
          <w:sz w:val="20"/>
          <w:szCs w:val="20"/>
        </w:rPr>
        <w:t xml:space="preserve">The Morningstar barbell recommendation from January (overweight value + overweight AI infrastructure) has been prescient. We extend this to a full cross-asset framework: be long the assets that benefit from EVERY scenario (energy in war, AI infra in peace, gold in chaos) and hedge the tails explicitly. Don’t try to predict the war’s duration. Own the optionality.</w:t>
      </w:r>
    </w:p>
    <w:p>
      <w:pPr>
        <w:pStyle w:val="Heading3"/>
      </w:pPr>
      <w:r>
        <w:t xml:space="preserve">Equity Sleeve (50-55% of portfolio)</w:t>
      </w:r>
    </w:p>
    <w:p>
      <w:pPr>
        <w:spacing w:after="160" w:before="0" w:line="276"/>
      </w:pPr>
      <w:r>
        <w:rPr>
          <w:rFonts w:ascii="Arial" w:cs="Arial" w:eastAsia="Arial" w:hAnsi="Arial"/>
          <w:b/>
          <w:bCs/>
          <w:color w:val="1B3A5C"/>
          <w:sz w:val="20"/>
          <w:szCs w:val="20"/>
        </w:rPr>
        <w:t xml:space="preserve">CORE LONGS (35-40%): </w:t>
      </w:r>
      <w:r>
        <w:rPr>
          <w:rFonts w:ascii="Arial" w:cs="Arial" w:eastAsia="Arial" w:hAnsi="Arial"/>
          <w:color w:val="333333"/>
          <w:sz w:val="20"/>
          <w:szCs w:val="20"/>
        </w:rPr>
        <w:t xml:space="preserve">US energy (XOM, CVX — up 22% YTD, net exporter advantage), US defence (LMT, NOC — beneficiary regardless of war duration), AI infrastructure hardware (NVDA at 22x fwd, AVGO, MRVL, TSM, VRT — $700B capex cycle is real), consumer defensives (WMT +13.7%, COST +15.7% — trade-down beneficiaries), industrials (CAT +32%, GEV — AI data center buildout). These names work in BOTH a war-resolution rally AND a protracted conflict.</w:t>
      </w:r>
    </w:p>
    <w:p>
      <w:pPr>
        <w:spacing w:after="160" w:before="0" w:line="276"/>
      </w:pPr>
      <w:r>
        <w:rPr>
          <w:rFonts w:ascii="Arial" w:cs="Arial" w:eastAsia="Arial" w:hAnsi="Arial"/>
          <w:b/>
          <w:bCs/>
          <w:color w:val="1B3A5C"/>
          <w:sz w:val="20"/>
          <w:szCs w:val="20"/>
        </w:rPr>
        <w:t xml:space="preserve">TACTICAL OVERWEIGHT (5-8%): </w:t>
      </w:r>
      <w:r>
        <w:rPr>
          <w:rFonts w:ascii="Arial" w:cs="Arial" w:eastAsia="Arial" w:hAnsi="Arial"/>
          <w:color w:val="333333"/>
          <w:sz w:val="20"/>
          <w:szCs w:val="20"/>
        </w:rPr>
        <w:t xml:space="preserve">European defence (structural rearmament theme, seasonal strength Jan-Apr per Morgan Stanley). Select beaten-down SaaS with fortress balance sheets IF IGV tests -30% (JPMorgan and Morgan Stanley both say the selloff is overdone on fundamentals). Small-cap value (earnings catching up, benefits from rate-cut-when-it-comes, One Big Beautiful Bill Act).</w:t>
      </w:r>
    </w:p>
    <w:p>
      <w:pPr>
        <w:spacing w:after="160" w:before="0" w:line="276"/>
      </w:pPr>
      <w:r>
        <w:rPr>
          <w:rFonts w:ascii="Arial" w:cs="Arial" w:eastAsia="Arial" w:hAnsi="Arial"/>
          <w:b/>
          <w:bCs/>
          <w:color w:val="1B3A5C"/>
          <w:sz w:val="20"/>
          <w:szCs w:val="20"/>
        </w:rPr>
        <w:t xml:space="preserve">UNDERWEIGHTS/SHORTS (5-7%): </w:t>
      </w:r>
      <w:r>
        <w:rPr>
          <w:rFonts w:ascii="Arial" w:cs="Arial" w:eastAsia="Arial" w:hAnsi="Arial"/>
          <w:color w:val="333333"/>
          <w:sz w:val="20"/>
          <w:szCs w:val="20"/>
        </w:rPr>
        <w:t xml:space="preserve">High-PE SaaS with PE-backed credit exposure (the AI-credit nexus is toxic). European/Japanese equities ex-defence (energy import vulnerability). Consumer discretionary (gas prices squeeze wallet). Highly leveraged mid-cap tech.</w:t>
      </w:r>
    </w:p>
    <w:p>
      <w:pPr>
        <w:pStyle w:val="Heading3"/>
      </w:pPr>
      <w:r>
        <w:t xml:space="preserve">Fixed Income Sleeve (20-25%)</w:t>
      </w:r>
    </w:p>
    <w:p>
      <w:pPr>
        <w:spacing w:after="160" w:before="0" w:line="276"/>
      </w:pPr>
      <w:r>
        <w:rPr>
          <w:rFonts w:ascii="Arial" w:cs="Arial" w:eastAsia="Arial" w:hAnsi="Arial"/>
          <w:b/>
          <w:bCs/>
          <w:color w:val="1B3A5C"/>
          <w:sz w:val="20"/>
          <w:szCs w:val="20"/>
        </w:rPr>
        <w:t xml:space="preserve">BELLY OF THE CURVE (12-15%): </w:t>
      </w:r>
      <w:r>
        <w:rPr>
          <w:rFonts w:ascii="Arial" w:cs="Arial" w:eastAsia="Arial" w:hAnsi="Arial"/>
          <w:color w:val="333333"/>
          <w:sz w:val="20"/>
          <w:szCs w:val="20"/>
        </w:rPr>
        <w:t xml:space="preserve">3-5Y Treasuries. This is the sweet spot per Morgan Stanley and Schwab: short enough to benefit if Fed eventually cuts, long enough to capture term premium. Avoid long duration — 30Y at 4.7% and rising on inflation fears. The 10Y is NOT acting as a haven (inflation &gt; flight-to-quality). IG corporates in energy, utilities, power generation — Lord Abbett is overweighting physical-asset issuers.</w:t>
      </w:r>
    </w:p>
    <w:p>
      <w:pPr>
        <w:spacing w:after="160" w:before="0" w:line="276"/>
      </w:pPr>
      <w:r>
        <w:rPr>
          <w:rFonts w:ascii="Arial" w:cs="Arial" w:eastAsia="Arial" w:hAnsi="Arial"/>
          <w:b/>
          <w:bCs/>
          <w:color w:val="1B3A5C"/>
          <w:sz w:val="20"/>
          <w:szCs w:val="20"/>
        </w:rPr>
        <w:t xml:space="preserve">HY/CREDIT (3-5%): </w:t>
      </w:r>
      <w:r>
        <w:rPr>
          <w:rFonts w:ascii="Arial" w:cs="Arial" w:eastAsia="Arial" w:hAnsi="Arial"/>
          <w:color w:val="333333"/>
          <w:sz w:val="20"/>
          <w:szCs w:val="20"/>
        </w:rPr>
        <w:t xml:space="preserve">Selective. HY spreads widened 40bps from lows but not distressed per Fidelity. Bloomberg Intelligence: credit has been a relative safe haven vs rates and equities since Iran war started. Favour HY bonds over leveraged loans — Schwab notes loans have 20% tech exposure vs 8% for HY bonds, and floating rate means lower coupons if/when cuts come. UNDERWEIGHT private credit entirely.</w:t>
      </w:r>
    </w:p>
    <w:p>
      <w:pPr>
        <w:spacing w:after="160" w:before="0" w:line="276"/>
      </w:pPr>
      <w:r>
        <w:rPr>
          <w:rFonts w:ascii="Arial" w:cs="Arial" w:eastAsia="Arial" w:hAnsi="Arial"/>
          <w:b/>
          <w:bCs/>
          <w:color w:val="1B3A5C"/>
          <w:sz w:val="20"/>
          <w:szCs w:val="20"/>
        </w:rPr>
        <w:t xml:space="preserve">TIPS (3-5%): </w:t>
      </w:r>
      <w:r>
        <w:rPr>
          <w:rFonts w:ascii="Arial" w:cs="Arial" w:eastAsia="Arial" w:hAnsi="Arial"/>
          <w:color w:val="333333"/>
          <w:sz w:val="20"/>
          <w:szCs w:val="20"/>
        </w:rPr>
        <w:t xml:space="preserve">Inflation-linked bonds. 5Y breakeven at 1-year high and trending higher. If oil stays elevated, TIPS are the cleanest play on the inflation surprise. Real rates may need to rise further to anchor expectations.</w:t>
      </w:r>
    </w:p>
    <w:p>
      <w:pPr>
        <w:pStyle w:val="Heading3"/>
      </w:pPr>
      <w:r>
        <w:t xml:space="preserve">Real Assets &amp; Alternatives (15-20%)</w:t>
      </w:r>
    </w:p>
    <w:p>
      <w:pPr>
        <w:spacing w:after="160" w:before="0" w:line="276"/>
      </w:pPr>
      <w:r>
        <w:rPr>
          <w:rFonts w:ascii="Arial" w:cs="Arial" w:eastAsia="Arial" w:hAnsi="Arial"/>
          <w:b/>
          <w:bCs/>
          <w:color w:val="1B3A5C"/>
          <w:sz w:val="20"/>
          <w:szCs w:val="20"/>
        </w:rPr>
        <w:t xml:space="preserve">GOLD (5-7%): </w:t>
      </w:r>
      <w:r>
        <w:rPr>
          <w:rFonts w:ascii="Arial" w:cs="Arial" w:eastAsia="Arial" w:hAnsi="Arial"/>
          <w:color w:val="333333"/>
          <w:sz w:val="20"/>
          <w:szCs w:val="20"/>
        </w:rPr>
        <w:t xml:space="preserve">Structural allocation. At $5,175 it’s rangebound short-term (strong DXY headwind), but JPM targets $6,300, Deutsche $6,000. Central bank buying provides floor. VanEck sees gold carrying momentum to $5,000+ in every scenario. The multi-regime hedge: works in inflation (real asset), deflation (monetary debasement), and geopolitical crisis (haven). Buy dips toward $5,000 aggressively.</w:t>
      </w:r>
    </w:p>
    <w:p>
      <w:pPr>
        <w:spacing w:after="160" w:before="0" w:line="276"/>
      </w:pPr>
      <w:r>
        <w:rPr>
          <w:rFonts w:ascii="Arial" w:cs="Arial" w:eastAsia="Arial" w:hAnsi="Arial"/>
          <w:b/>
          <w:bCs/>
          <w:color w:val="1B3A5C"/>
          <w:sz w:val="20"/>
          <w:szCs w:val="20"/>
        </w:rPr>
        <w:t xml:space="preserve">COMMODITIES/ENERGY (3-5%): </w:t>
      </w:r>
      <w:r>
        <w:rPr>
          <w:rFonts w:ascii="Arial" w:cs="Arial" w:eastAsia="Arial" w:hAnsi="Arial"/>
          <w:color w:val="333333"/>
          <w:sz w:val="20"/>
          <w:szCs w:val="20"/>
        </w:rPr>
        <w:t xml:space="preserve">Beyond equity energy exposure, consider direct commodity futures or a broad commodity index for diversification. Copper especially well-positioned per VanEck — supply disruptions, limited pipelines, rising EV/grid/data center demand. Platinum market heading for 4th consecutive annual deficit.</w:t>
      </w:r>
    </w:p>
    <w:p>
      <w:pPr>
        <w:spacing w:after="160" w:before="0" w:line="276"/>
      </w:pPr>
      <w:r>
        <w:rPr>
          <w:rFonts w:ascii="Arial" w:cs="Arial" w:eastAsia="Arial" w:hAnsi="Arial"/>
          <w:b/>
          <w:bCs/>
          <w:color w:val="1B3A5C"/>
          <w:sz w:val="20"/>
          <w:szCs w:val="20"/>
        </w:rPr>
        <w:t xml:space="preserve">MANAGED FUTURES / CTA (5-8%): </w:t>
      </w:r>
      <w:r>
        <w:rPr>
          <w:rFonts w:ascii="Arial" w:cs="Arial" w:eastAsia="Arial" w:hAnsi="Arial"/>
          <w:color w:val="333333"/>
          <w:sz w:val="20"/>
          <w:szCs w:val="20"/>
        </w:rPr>
        <w:t xml:space="preserve">This is the SINGLE BEST structural hedge in this environment. Cambridge Associates is recommending leaning more than typical into hedge fund strategies. CTAs/trend-followers generate POSITIVE returns during sustained market stress (crisis alpha) with increasingly NEGATIVE correlation to equities during drawdowns — the exact opposite of bonds right now. Unlike VIX products, there’s no contango bleed. Unlike gold, they’re multi-asset (they can capture oil trend, USD trend, rates trend simultaneously). The short rebate from elevated rates provides a tailwind. This is the only hedge that has POSITIVE expected returns AND downside protection.</w:t>
      </w:r>
    </w:p>
    <w:p>
      <w:pPr>
        <w:pStyle w:val="Heading3"/>
      </w:pPr>
      <w:r>
        <w:t xml:space="preserve">FX &amp; Cash (5-10%)</w:t>
      </w:r>
    </w:p>
    <w:p>
      <w:pPr>
        <w:spacing w:after="160" w:before="0" w:line="276"/>
      </w:pPr>
      <w:r>
        <w:rPr>
          <w:rFonts w:ascii="Arial" w:cs="Arial" w:eastAsia="Arial" w:hAnsi="Arial"/>
          <w:b/>
          <w:bCs/>
          <w:color w:val="1B3A5C"/>
          <w:sz w:val="20"/>
          <w:szCs w:val="20"/>
        </w:rPr>
        <w:t xml:space="preserve">LONG USD (3-5%): </w:t>
      </w:r>
      <w:r>
        <w:rPr>
          <w:rFonts w:ascii="Arial" w:cs="Arial" w:eastAsia="Arial" w:hAnsi="Arial"/>
          <w:color w:val="333333"/>
          <w:sz w:val="20"/>
          <w:szCs w:val="20"/>
        </w:rPr>
        <w:t xml:space="preserve">The dollar reclaimed ultimate haven status per Bloomberg. Strongest 2-day rally in a year at war onset. Benefits from: higher-for-longer rates, energy exporter status, capital flows to safety. Express via short EUR/USD (ECB frozen, energy inflation), short USD/JPY puts (yen weak on ME oil dependence).</w:t>
      </w:r>
    </w:p>
    <w:p>
      <w:pPr>
        <w:spacing w:after="160" w:before="0" w:line="276"/>
      </w:pPr>
      <w:r>
        <w:rPr>
          <w:rFonts w:ascii="Arial" w:cs="Arial" w:eastAsia="Arial" w:hAnsi="Arial"/>
          <w:b/>
          <w:bCs/>
          <w:color w:val="1B3A5C"/>
          <w:sz w:val="20"/>
          <w:szCs w:val="20"/>
        </w:rPr>
        <w:t xml:space="preserve">CASH / T-BILLS (3-5%): </w:t>
      </w:r>
      <w:r>
        <w:rPr>
          <w:rFonts w:ascii="Arial" w:cs="Arial" w:eastAsia="Arial" w:hAnsi="Arial"/>
          <w:color w:val="333333"/>
          <w:sz w:val="20"/>
          <w:szCs w:val="20"/>
        </w:rPr>
        <w:t xml:space="preserve">Dry powder is not a dirty word. 5%+ yield on 3M T-bills with zero duration risk. This is your ammunition for the rebalancing trade when the crisis resolves. Goldman AM: the real value of tail hedging is enabling crisis rebalancing — having cash to buy risk assets at distressed levels. Pre-authorise how and when to deploy.</w:t>
      </w:r>
    </w:p>
    <w:p>
      <w:pPr>
        <w:pBdr>
          <w:bottom w:val="single" w:color="1B3A5C" w:sz="6" w:space="4"/>
        </w:pBdr>
        <w:spacing w:after="200" w:before="200"/>
      </w:pPr>
    </w:p>
    <w:p>
      <w:pPr>
        <w:pStyle w:val="Heading1"/>
      </w:pPr>
      <w:r>
        <w:t xml:space="preserve">EXPLICIT TAIL RISK HEDGE PORTFOLIO (2-3% OF NAV)</w:t>
      </w:r>
    </w:p>
    <w:p>
      <w:pPr>
        <w:spacing w:after="160" w:before="0" w:line="276"/>
        <w:jc w:val="left"/>
      </w:pPr>
      <w:r>
        <w:rPr>
          <w:rFonts w:ascii="Arial" w:cs="Arial" w:eastAsia="Arial" w:hAnsi="Arial"/>
          <w:color w:val="333333"/>
          <w:sz w:val="20"/>
          <w:szCs w:val="20"/>
        </w:rPr>
        <w:t xml:space="preserve">Total annual hedge budget: 2.0-2.5% of portfolio NAV. This is the insurance premium. At a 10% expected equity return, it consumes 20-25% of returns in a year with no crisis but TRANSFORMS the drawdown profile.</w:t>
      </w:r>
    </w:p>
    <w:p>
      <w:pPr>
        <w:spacing w:after="160" w:before="0" w:line="276"/>
      </w:pPr>
      <w:r>
        <w:rPr>
          <w:rFonts w:ascii="Arial" w:cs="Arial" w:eastAsia="Arial" w:hAnsi="Arial"/>
          <w:b/>
          <w:bCs/>
          <w:color w:val="1B3A5C"/>
          <w:sz w:val="20"/>
          <w:szCs w:val="20"/>
        </w:rPr>
        <w:t xml:space="preserve">LAYER 1 — EQUITY DOWNSIDE (1.0-1.2%): </w:t>
      </w:r>
      <w:r>
        <w:rPr>
          <w:rFonts w:ascii="Arial" w:cs="Arial" w:eastAsia="Arial" w:hAnsi="Arial"/>
          <w:color w:val="333333"/>
          <w:sz w:val="20"/>
          <w:szCs w:val="20"/>
        </w:rPr>
        <w:t xml:space="preserve">Rolling 3-month SPX put spreads, 5% OTM. Current cost: elevated but manageable. Payoff in -15% drawdown: 6-10x. Rationale: direct, liquid, transparent. Roll monthly to maintain constant protection horizon. The negative gamma zone (SPX below dealer flip) means moves are EXAGGERATED — puts pay off faster than models suggest.</w:t>
      </w:r>
    </w:p>
    <w:p>
      <w:pPr>
        <w:spacing w:after="160" w:before="0" w:line="276"/>
      </w:pPr>
      <w:r>
        <w:rPr>
          <w:rFonts w:ascii="Arial" w:cs="Arial" w:eastAsia="Arial" w:hAnsi="Arial"/>
          <w:b/>
          <w:bCs/>
          <w:color w:val="1B3A5C"/>
          <w:sz w:val="20"/>
          <w:szCs w:val="20"/>
        </w:rPr>
        <w:t xml:space="preserve">LAYER 2 — VOL SPIKE (0.3-0.5%): </w:t>
      </w:r>
      <w:r>
        <w:rPr>
          <w:rFonts w:ascii="Arial" w:cs="Arial" w:eastAsia="Arial" w:hAnsi="Arial"/>
          <w:color w:val="333333"/>
          <w:sz w:val="20"/>
          <w:szCs w:val="20"/>
        </w:rPr>
        <w:t xml:space="preserve">VIX 30/45 call spreads, 90-120 day expiry. Cheap relative to outright VIX calls. VIX at 27 — these are still achievable strikes in a panic. If VIX hits 40+ (which it will in a Hormuz-stays-closed scenario), the 30/45 spread pays 5-10x. The VIX short call ladder (sell ATM, buy 2x OTM) can be structured for zero net cost in some vol environments.</w:t>
      </w:r>
    </w:p>
    <w:p>
      <w:pPr>
        <w:spacing w:after="160" w:before="0" w:line="276"/>
      </w:pPr>
      <w:r>
        <w:rPr>
          <w:rFonts w:ascii="Arial" w:cs="Arial" w:eastAsia="Arial" w:hAnsi="Arial"/>
          <w:b/>
          <w:bCs/>
          <w:color w:val="1B3A5C"/>
          <w:sz w:val="20"/>
          <w:szCs w:val="20"/>
        </w:rPr>
        <w:t xml:space="preserve">LAYER 3 — OIL ESCALATION (0.3-0.5%): </w:t>
      </w:r>
      <w:r>
        <w:rPr>
          <w:rFonts w:ascii="Arial" w:cs="Arial" w:eastAsia="Arial" w:hAnsi="Arial"/>
          <w:color w:val="333333"/>
          <w:sz w:val="20"/>
          <w:szCs w:val="20"/>
        </w:rPr>
        <w:t xml:space="preserve">Brent crude $130/$160 call spreads, 3-month expiry. This is the CHEAPEST hedge relative to the tail it covers. Wood Mackenzie says $150 for demand destruction, their chairman says $200 is possible. If Hormuz stays closed and Bab el-Mandeb closes too, these print. If war resolves, you lose 30-50bps. Asymmetry: 5-15x.</w:t>
      </w:r>
    </w:p>
    <w:p>
      <w:pPr>
        <w:spacing w:after="160" w:before="0" w:line="276"/>
      </w:pPr>
      <w:r>
        <w:rPr>
          <w:rFonts w:ascii="Arial" w:cs="Arial" w:eastAsia="Arial" w:hAnsi="Arial"/>
          <w:b/>
          <w:bCs/>
          <w:color w:val="1B3A5C"/>
          <w:sz w:val="20"/>
          <w:szCs w:val="20"/>
        </w:rPr>
        <w:t xml:space="preserve">LAYER 4 — CREDIT CRUNCH (0.2-0.3%): </w:t>
      </w:r>
      <w:r>
        <w:rPr>
          <w:rFonts w:ascii="Arial" w:cs="Arial" w:eastAsia="Arial" w:hAnsi="Arial"/>
          <w:color w:val="333333"/>
          <w:sz w:val="20"/>
          <w:szCs w:val="20"/>
        </w:rPr>
        <w:t xml:space="preserve">CDX HY protection (5Y) or long CDS on select BBB-rated leveraged loan ETFs. This covers the private credit contagion tail. HY spreads have only widened 40bps from lows — they’re still CHEAP to hedge. If BDC writedowns cascade in Q2 and BBB downgrades accelerate, this layer pays off generously.</w:t>
      </w:r>
    </w:p>
    <w:p>
      <w:pPr>
        <w:pBdr>
          <w:top w:val="single" w:color="E6A817" w:sz="1"/>
          <w:bottom w:val="single" w:color="E6A817" w:sz="1"/>
        </w:pBdr>
        <w:shd w:fill="FFF3CD" w:val="clear"/>
        <w:spacing w:after="120" w:before="120"/>
        <w:ind w:left="360"/>
      </w:pPr>
      <w:r>
        <w:rPr>
          <w:rFonts w:ascii="Arial" w:cs="Arial" w:eastAsia="Arial" w:hAnsi="Arial"/>
          <w:b/>
          <w:bCs/>
          <w:i/>
          <w:iCs/>
          <w:color w:val="856404"/>
          <w:sz w:val="20"/>
          <w:szCs w:val="20"/>
        </w:rPr>
        <w:t xml:space="preserve">TOTAL HEDGE COST: ~2.0-2.5% p.a. TOTAL PORTFOLIO PROTECTION: First 10-15% of drawdown is substantially cushioned. This allows you to MAINTAIN full equity exposure and not panic-sell into the exact bottom. The hedge is the permission slip to stay invested.</w:t>
      </w:r>
    </w:p>
    <w:p>
      <w:pPr>
        <w:pBdr>
          <w:bottom w:val="single" w:color="1B3A5C" w:sz="6" w:space="4"/>
        </w:pBdr>
        <w:spacing w:after="200" w:before="200"/>
      </w:pPr>
    </w:p>
    <w:p>
      <w:pPr>
        <w:pStyle w:val="Heading1"/>
      </w:pPr>
      <w:r>
        <w:t xml:space="preserve">THE REBALANCING PLAYBOOK: WHEN TO FLIP FROM DEFENCE TO OFFENCE</w:t>
      </w:r>
    </w:p>
    <w:p>
      <w:pPr>
        <w:spacing w:after="160" w:before="0" w:line="276"/>
        <w:jc w:val="left"/>
      </w:pPr>
      <w:r>
        <w:rPr>
          <w:rFonts w:ascii="Arial" w:cs="Arial" w:eastAsia="Arial" w:hAnsi="Arial"/>
          <w:color w:val="333333"/>
          <w:sz w:val="20"/>
          <w:szCs w:val="20"/>
        </w:rPr>
        <w:t xml:space="preserve">Pre-authorise trigger levels NOW. When these conditions are met, begin redeploying cash and hedge proceeds into risk assets:</w:t>
      </w:r>
    </w:p>
    <w:p>
      <w:pPr>
        <w:spacing w:after="160" w:before="0" w:line="276"/>
      </w:pPr>
      <w:r>
        <w:rPr>
          <w:rFonts w:ascii="Arial" w:cs="Arial" w:eastAsia="Arial" w:hAnsi="Arial"/>
          <w:b/>
          <w:bCs/>
          <w:color w:val="1B3A5C"/>
          <w:sz w:val="20"/>
          <w:szCs w:val="20"/>
        </w:rPr>
        <w:t xml:space="preserve">TRIGGER 1 — WAR RESOLUTION SIGNAL: </w:t>
      </w:r>
      <w:r>
        <w:rPr>
          <w:rFonts w:ascii="Arial" w:cs="Arial" w:eastAsia="Arial" w:hAnsi="Arial"/>
          <w:color w:val="333333"/>
          <w:sz w:val="20"/>
          <w:szCs w:val="20"/>
        </w:rPr>
        <w:t xml:space="preserve">Any credible ceasefire talk, Hormuz partial reopening, or US troop drawdown announcement. Action: immediately sell 50% of oil call spreads, cover 30% of equity shorts, add to small-cap and European equities. This is the short-covering squeeze trade. Move fast — Goldman says HF short positioning at Sept 2022 highs means the rip will be violent.</w:t>
      </w:r>
    </w:p>
    <w:p>
      <w:pPr>
        <w:spacing w:after="160" w:before="0" w:line="276"/>
      </w:pPr>
      <w:r>
        <w:rPr>
          <w:rFonts w:ascii="Arial" w:cs="Arial" w:eastAsia="Arial" w:hAnsi="Arial"/>
          <w:b/>
          <w:bCs/>
          <w:color w:val="1B3A5C"/>
          <w:sz w:val="20"/>
          <w:szCs w:val="20"/>
        </w:rPr>
        <w:t xml:space="preserve">TRIGGER 2 — VIX SPIKE ABOVE 40: </w:t>
      </w:r>
      <w:r>
        <w:rPr>
          <w:rFonts w:ascii="Arial" w:cs="Arial" w:eastAsia="Arial" w:hAnsi="Arial"/>
          <w:color w:val="333333"/>
          <w:sz w:val="20"/>
          <w:szCs w:val="20"/>
        </w:rPr>
        <w:t xml:space="preserve">This is capitulation. Historically, buying equities when VIX exceeds 40 generates average 12-month returns of +25-30%. Action: monetise VIX call spreads (they’ll be at max value), roll proceeds into equity exposure. This is where the hedge CREATES the outperformance.</w:t>
      </w:r>
    </w:p>
    <w:p>
      <w:pPr>
        <w:spacing w:after="160" w:before="0" w:line="276"/>
      </w:pPr>
      <w:r>
        <w:rPr>
          <w:rFonts w:ascii="Arial" w:cs="Arial" w:eastAsia="Arial" w:hAnsi="Arial"/>
          <w:b/>
          <w:bCs/>
          <w:color w:val="1B3A5C"/>
          <w:sz w:val="20"/>
          <w:szCs w:val="20"/>
        </w:rPr>
        <w:t xml:space="preserve">TRIGGER 3 — CREDIT SPREADS HIT 500bps+ HY: </w:t>
      </w:r>
      <w:r>
        <w:rPr>
          <w:rFonts w:ascii="Arial" w:cs="Arial" w:eastAsia="Arial" w:hAnsi="Arial"/>
          <w:color w:val="333333"/>
          <w:sz w:val="20"/>
          <w:szCs w:val="20"/>
        </w:rPr>
        <w:t xml:space="preserve">This is distress territory and historically the best entry point for HY bonds. Action: rotate from IG into HY, buy fallen angel ETFs, potentially add distressed PC exposure at 70-80 cents on the dollar.</w:t>
      </w:r>
    </w:p>
    <w:p>
      <w:pPr>
        <w:spacing w:after="160" w:before="0" w:line="276"/>
      </w:pPr>
      <w:r>
        <w:rPr>
          <w:rFonts w:ascii="Arial" w:cs="Arial" w:eastAsia="Arial" w:hAnsi="Arial"/>
          <w:b/>
          <w:bCs/>
          <w:color w:val="1B3A5C"/>
          <w:sz w:val="20"/>
          <w:szCs w:val="20"/>
        </w:rPr>
        <w:t xml:space="preserve">TRIGGER 4 — SPX TESTS 5,800-6,000: </w:t>
      </w:r>
      <w:r>
        <w:rPr>
          <w:rFonts w:ascii="Arial" w:cs="Arial" w:eastAsia="Arial" w:hAnsi="Arial"/>
          <w:color w:val="333333"/>
          <w:sz w:val="20"/>
          <w:szCs w:val="20"/>
        </w:rPr>
        <w:t xml:space="preserve">That’s -10 to -12% from here, approaching the upper bound of a normal correction. Action: deploy T-bill cash into broad equity index at scale. The Morningstar Conviction Compass at 41 says stress is real but not climactic — we need it below 35 for a true flush. Below 35, back up the truck.</w:t>
      </w:r>
    </w:p>
    <w:p>
      <w:pPr>
        <w:spacing w:after="160" w:before="0" w:line="276"/>
      </w:pPr>
      <w:r>
        <w:rPr>
          <w:rFonts w:ascii="Arial" w:cs="Arial" w:eastAsia="Arial" w:hAnsi="Arial"/>
          <w:b/>
          <w:bCs/>
          <w:color w:val="1B3A5C"/>
          <w:sz w:val="20"/>
          <w:szCs w:val="20"/>
        </w:rPr>
        <w:t xml:space="preserve">TRIGGER 5 — FED PIVOTS: </w:t>
      </w:r>
      <w:r>
        <w:rPr>
          <w:rFonts w:ascii="Arial" w:cs="Arial" w:eastAsia="Arial" w:hAnsi="Arial"/>
          <w:color w:val="333333"/>
          <w:sz w:val="20"/>
          <w:szCs w:val="20"/>
        </w:rPr>
        <w:t xml:space="preserve">If the labour market deteriorates further (NFP negative for 2 consecutive months), the Fed will signal a cut regardless of inflation. Action: add long duration (30Y), reduce USD longs, add EM FX and equities. This is the reflationary trade.</w:t>
      </w:r>
    </w:p>
    <w:p>
      <w:pPr>
        <w:pBdr>
          <w:bottom w:val="single" w:color="1B3A5C" w:sz="6" w:space="4"/>
        </w:pBdr>
        <w:spacing w:after="200" w:before="200"/>
      </w:pPr>
    </w:p>
    <w:p>
      <w:pPr>
        <w:pStyle w:val="Heading1"/>
      </w:pPr>
      <w:r>
        <w:t xml:space="preserve">BOTTOM LINE FOR LEADERSHIP</w:t>
      </w:r>
    </w:p>
    <w:p>
      <w:pPr>
        <w:spacing w:after="160" w:before="0" w:line="276"/>
        <w:jc w:val="left"/>
      </w:pPr>
      <w:r>
        <w:rPr>
          <w:rFonts w:ascii="Arial" w:cs="Arial" w:eastAsia="Arial" w:hAnsi="Arial"/>
          <w:color w:val="333333"/>
          <w:sz w:val="20"/>
          <w:szCs w:val="20"/>
        </w:rPr>
        <w:t xml:space="preserve">We are in the fog of war — literally. The distribution of outcomes has never been wider in our careers. But wide distributions create the best risk/reward for prepared portfolios. The Atlantic Council frames this perfectly: markets are repricing not realised losses but the OPTION VALUE of uncertainty. When the option expires (war ends, clarity returns), risk premium collapses and risk assets rip.</w:t>
      </w:r>
    </w:p>
    <w:p>
      <w:pPr>
        <w:spacing w:after="160" w:before="0" w:line="276"/>
        <w:jc w:val="left"/>
      </w:pPr>
      <w:r>
        <w:rPr>
          <w:rFonts w:ascii="Arial" w:cs="Arial" w:eastAsia="Arial" w:hAnsi="Arial"/>
          <w:color w:val="333333"/>
          <w:sz w:val="20"/>
          <w:szCs w:val="20"/>
        </w:rPr>
        <w:t xml:space="preserve">Our posture: stay fully invested in REAL ECONOMY equities (energy, defence, AI infrastructure, defensives), run explicit layered hedges at 2-2.5% annual cost, hold 5% gold as structural ballast, allocate 5-8% to managed futures for crisis alpha, keep 3-5% dry powder for the rebalancing trigger. Do NOT de-risk wholesale. Do NOT try to time the war’s end. Own the optionality on BOTH tails.</w:t>
      </w:r>
    </w:p>
    <w:p>
      <w:pPr>
        <w:spacing w:after="160" w:before="0" w:line="276"/>
        <w:jc w:val="left"/>
      </w:pPr>
      <w:r>
        <w:rPr>
          <w:rFonts w:ascii="Arial" w:cs="Arial" w:eastAsia="Arial" w:hAnsi="Arial"/>
          <w:color w:val="333333"/>
          <w:sz w:val="20"/>
          <w:szCs w:val="20"/>
        </w:rPr>
        <w:t xml:space="preserve">The biggest risk is not a -20% drawdown. The biggest risk is being OUT of the market when peace breaks out and missing the most explosive rally since March 2020.</w:t>
      </w:r>
    </w:p>
    <w:p>
      <w:pPr>
        <w:pBdr>
          <w:top w:val="single" w:color="E6A817" w:sz="1"/>
          <w:bottom w:val="single" w:color="E6A817" w:sz="1"/>
        </w:pBdr>
        <w:shd w:fill="FFF3CD" w:val="clear"/>
        <w:spacing w:after="120" w:before="120"/>
        <w:ind w:left="360"/>
      </w:pPr>
      <w:r>
        <w:rPr>
          <w:rFonts w:ascii="Arial" w:cs="Arial" w:eastAsia="Arial" w:hAnsi="Arial"/>
          <w:b/>
          <w:bCs/>
          <w:i/>
          <w:iCs/>
          <w:color w:val="856404"/>
          <w:sz w:val="20"/>
          <w:szCs w:val="20"/>
        </w:rPr>
        <w:t xml:space="preserve">NEXT WEEK: NVIDIA GTC (Mon-Thu) | Fed Decision (Wed) | ECB / BoE / SNB (Thu) | Hormuz naval developments | Every headline is a potential catalyst. Stay nimble. Stay hedged. Stay invested.</w:t>
      </w:r>
    </w:p>
    <w:p>
      <w:pPr>
        <w:spacing w:after="200"/>
      </w:pPr>
    </w:p>
    <w:p>
      <w:pPr>
        <w:pBdr>
          <w:top w:val="single" w:color="1B3A5C" w:sz="4" w:space="8"/>
        </w:pBdr>
        <w:spacing w:before="200"/>
      </w:pPr>
      <w:r>
        <w:rPr>
          <w:rFonts w:ascii="Arial" w:cs="Arial" w:eastAsia="Arial" w:hAnsi="Arial"/>
          <w:i/>
          <w:iCs/>
          <w:color w:val="555555"/>
          <w:sz w:val="16"/>
          <w:szCs w:val="16"/>
        </w:rPr>
        <w:t xml:space="preserve">This document is prepared for internal use only. Views expressed are those of the trading desk and do not constitute investment advice. </w:t>
      </w:r>
      <w:r>
        <w:rPr>
          <w:rFonts w:ascii="Arial" w:cs="Arial" w:eastAsia="Arial" w:hAnsi="Arial"/>
          <w:i/>
          <w:iCs/>
          <w:color w:val="555555"/>
          <w:sz w:val="16"/>
          <w:szCs w:val="16"/>
        </w:rPr>
        <w:t xml:space="preserve">Past performance is not indicative of future results. Scenario probabilities are subjective estimates.</w:t>
      </w:r>
    </w:p>
    <w:sectPr>
      <w:pgSz w:w="12240" w:h="15840" w:orient="portrait"/>
      <w:pgMar w:top="1200" w:right="1200" w:bottom="12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B3A5C"/>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1B3A5C"/>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2C5F8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2026-03-15T19:56:42.358Z</dcterms:created>
  <dcterms:modified xsi:type="dcterms:W3CDTF">2026-03-15T19:56:42.359Z</dcterms:modified>
</cp:coreProperties>
</file>

<file path=docProps/custom.xml><?xml version="1.0" encoding="utf-8"?>
<Properties xmlns="http://schemas.openxmlformats.org/officeDocument/2006/custom-properties" xmlns:vt="http://schemas.openxmlformats.org/officeDocument/2006/docPropsVTypes"/>
</file>